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t xml:space="preserve"/>
      </w:r>
    </w:p>
    <w:p>
      <w:pPr>
        <w:spacing w:after="80"/>
      </w:pPr>
      <w:r>
        <w:t xml:space="preserve"/>
      </w:r>
    </w:p>
    <w:p>
      <w:pPr>
        <w:spacing w:after="80"/>
      </w:pPr>
      <w:r>
        <w:t xml:space="preserve"/>
      </w:r>
    </w:p>
    <w:p>
      <w:pPr>
        <w:spacing w:after="80"/>
      </w:pPr>
      <w:r>
        <w:t xml:space="preserve"/>
      </w:r>
    </w:p>
    <w:p>
      <w:pPr>
        <w:spacing w:after="120"/>
        <w:jc w:val="center"/>
      </w:pPr>
      <w:r>
        <w:rPr>
          <w:rFonts w:ascii="Arial" w:cs="Arial" w:eastAsia="Arial" w:hAnsi="Arial"/>
          <w:b/>
          <w:bCs/>
          <w:caps/>
          <w:color w:val="0D7A77"/>
          <w:sz w:val="22"/>
          <w:szCs w:val="22"/>
        </w:rPr>
        <w:t xml:space="preserve">SUPPLEMENTARY ANNEX</w:t>
      </w:r>
    </w:p>
    <w:p>
      <w:pPr>
        <w:spacing w:after="80"/>
        <w:jc w:val="center"/>
      </w:pPr>
      <w:r>
        <w:rPr>
          <w:rFonts w:ascii="Arial" w:cs="Arial" w:eastAsia="Arial" w:hAnsi="Arial"/>
          <w:b/>
          <w:bCs/>
          <w:color w:val="1B3A6B"/>
          <w:sz w:val="36"/>
          <w:szCs w:val="36"/>
        </w:rPr>
        <w:t xml:space="preserve">Generative AI Governance:</w:t>
      </w:r>
    </w:p>
    <w:p>
      <w:pPr>
        <w:spacing w:after="200"/>
        <w:jc w:val="center"/>
      </w:pPr>
      <w:r>
        <w:rPr>
          <w:rFonts w:ascii="Arial" w:cs="Arial" w:eastAsia="Arial" w:hAnsi="Arial"/>
          <w:b w:val="false"/>
          <w:bCs w:val="false"/>
          <w:color w:val="1B3A6B"/>
          <w:sz w:val="32"/>
          <w:szCs w:val="32"/>
        </w:rPr>
        <w:t xml:space="preserve">Alignment with ISO 13485 and ISO 14971</w:t>
      </w:r>
    </w:p>
    <w:p>
      <w:pPr>
        <w:pBdr>
          <w:top w:val="single" w:color="0D7A77" w:sz="4" w:space="6"/>
          <w:bottom w:val="single" w:color="0D7A77" w:sz="4" w:space="6"/>
        </w:pBdr>
        <w:spacing w:after="160" w:before="160"/>
        <w:jc w:val="center"/>
      </w:pPr>
      <w:r>
        <w:rPr>
          <w:rFonts w:ascii="Arial" w:cs="Arial" w:eastAsia="Arial" w:hAnsi="Arial"/>
          <w:i/>
          <w:iCs/>
          <w:color w:val="0D7A77"/>
          <w:sz w:val="20"/>
          <w:szCs w:val="20"/>
        </w:rPr>
        <w:t xml:space="preserve">Supplement to ORG-AI-POL-001  |  Based on ISO/IEC CD TS 25568, ISO 13485:2016, ISO 14971:2019</w:t>
      </w:r>
    </w:p>
    <w:p>
      <w:pPr>
        <w:spacing w:after="80"/>
      </w:pPr>
      <w:r>
        <w:t xml:space="preserve"/>
      </w:r>
    </w:p>
    <w:p>
      <w:pPr>
        <w:spacing w:after="80"/>
      </w:pPr>
      <w: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4800"/>
      </w:tblGrid>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Document Reference:</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[ORG-AI-ANN-001]</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Parent Document:</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ORG-AI-POL-001 — Responsible Use of Generative AI</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Version:</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Applicable Standards:</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ISO 13485:2016, ISO 14971:2019, IEC 62304:2006+A1:2015, ISO/IEC CD TS 25568, EU MDR 2017/745, EU AI Act 2024/1689</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Review Cycle:</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Annual (or upon revision of parent policy)</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Document Owner:</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[Quality / Regulatory Affairs]</w:t>
            </w:r>
          </w:p>
        </w:tc>
      </w:tr>
    </w:tbl>
    <w:p>
      <w:pPr>
        <w:spacing w:after="80"/>
      </w:pPr>
      <w:r>
        <w:t xml:space="preserve"/>
      </w:r>
    </w:p>
    <w:p>
      <w:pPr>
        <w:spacing w:after="80"/>
      </w:pPr>
      <w:r>
        <w:t xml:space="preserve"/>
      </w:r>
    </w:p>
    <w:p>
      <w:pPr>
        <w:spacing w:after="80"/>
      </w:pPr>
      <w:r>
        <w:t xml:space="preserve"/>
      </w:r>
    </w:p>
    <w:p>
      <w:pPr>
        <w:jc w:val="center"/>
      </w:pPr>
      <w:r>
        <w:rPr>
          <w:rFonts w:ascii="Arial" w:cs="Arial" w:eastAsia="Arial" w:hAnsi="Arial"/>
          <w:i/>
          <w:iCs/>
          <w:color w:val="888888"/>
          <w:sz w:val="18"/>
          <w:szCs w:val="18"/>
        </w:rPr>
        <w:t xml:space="preserve">CONTROLLED DOCUMENT  |  Check the Document Management System for the current version</w:t>
      </w:r>
    </w:p>
    <w:p>
      <w:r>
        <w:br w:type="page"/>
      </w:r>
    </w:p>
    <w:p>
      <w:pPr>
        <w:pStyle w:val="Heading1"/>
        <w:pBdr>
          <w:bottom w:val="single" w:color="0D7A77" w:sz="6" w:space="4"/>
        </w:pBdr>
        <w:spacing w:after="180" w:before="360"/>
      </w:pPr>
      <w:r>
        <w:rPr>
          <w:rFonts w:ascii="Arial" w:cs="Arial" w:eastAsia="Arial" w:hAnsi="Arial"/>
          <w:b/>
          <w:bCs/>
          <w:color w:val="1B3A6B"/>
          <w:sz w:val="32"/>
          <w:szCs w:val="32"/>
        </w:rPr>
        <w:t xml:space="preserve">A1. Purpose and Relationship to Parent Policy</w:t>
      </w:r>
    </w:p>
    <w:p>
      <w:pPr>
        <w:spacing w:after="120"/>
      </w:pPr>
      <w:r>
        <w:rPr>
          <w:rFonts w:ascii="Arial" w:cs="Arial" w:eastAsia="Arial" w:hAnsi="Arial"/>
          <w:b w:val="false"/>
          <w:bCs w:val="false"/>
          <w:color w:val="1A1A1A"/>
          <w:sz w:val="22"/>
          <w:szCs w:val="22"/>
        </w:rPr>
        <w:t xml:space="preserve">This Annex supplements ORG-AI-POL-001 (Responsible Use of Generative AI — based on ISO/IEC CD TS 25568) by providing detailed implementation guidance for life science organisations operating under a certified ISO 13485:2016 Quality Management System and applying ISO 14971:2019 for medical device risk management.</w:t>
      </w:r>
    </w:p>
    <w:p>
      <w:pPr>
        <w:spacing w:after="80"/>
      </w:pPr>
      <w:r>
        <w:t xml:space="preserve"/>
      </w:r>
    </w:p>
    <w:p>
      <w:pPr>
        <w:spacing w:after="120"/>
      </w:pPr>
      <w:r>
        <w:rPr>
          <w:rFonts w:ascii="Arial" w:cs="Arial" w:eastAsia="Arial" w:hAnsi="Arial"/>
          <w:b w:val="false"/>
          <w:bCs w:val="false"/>
          <w:color w:val="1A1A1A"/>
          <w:sz w:val="22"/>
          <w:szCs w:val="22"/>
        </w:rPr>
        <w:t xml:space="preserve">The use of Generative AI (GenAI) systems in a medical device organisation creates obligations and integration points across the QMS that are not fully addressed by the parent policy alone. This Annex:</w:t>
      </w:r>
    </w:p>
    <w:p>
      <w:pPr>
        <w:pStyle w:val="ListParagraph"/>
        <w:numPr>
          <w:ilvl w:val="0"/>
          <w:numId w:val="2"/>
        </w:numPr>
      </w:pPr>
      <w:r>
        <w:rPr>
          <w:rFonts w:ascii="Arial" w:cs="Arial" w:eastAsia="Arial" w:hAnsi="Arial"/>
          <w:color w:val="1A1A1A"/>
          <w:sz w:val="22"/>
          <w:szCs w:val="22"/>
        </w:rPr>
        <w:t xml:space="preserve">Maps GenAI governance requirements to specific ISO 13485:2016 clauses</w:t>
      </w:r>
    </w:p>
    <w:p>
      <w:pPr>
        <w:pStyle w:val="ListParagraph"/>
        <w:numPr>
          <w:ilvl w:val="0"/>
          <w:numId w:val="2"/>
        </w:numPr>
      </w:pPr>
      <w:r>
        <w:rPr>
          <w:rFonts w:ascii="Arial" w:cs="Arial" w:eastAsia="Arial" w:hAnsi="Arial"/>
          <w:color w:val="1A1A1A"/>
          <w:sz w:val="22"/>
          <w:szCs w:val="22"/>
        </w:rPr>
        <w:t xml:space="preserve">Integrates GenAI risk identification and treatment into the ISO 14971:2019 risk management process</w:t>
      </w:r>
    </w:p>
    <w:p>
      <w:pPr>
        <w:pStyle w:val="ListParagraph"/>
        <w:numPr>
          <w:ilvl w:val="0"/>
          <w:numId w:val="2"/>
        </w:numPr>
      </w:pPr>
      <w:r>
        <w:rPr>
          <w:rFonts w:ascii="Arial" w:cs="Arial" w:eastAsia="Arial" w:hAnsi="Arial"/>
          <w:color w:val="1A1A1A"/>
          <w:sz w:val="22"/>
          <w:szCs w:val="22"/>
        </w:rPr>
        <w:t xml:space="preserve">Addresses the intersection of GenAI use with IEC 62304:2006+A1:2015 where AI contributes to or assists in the development of medical device software</w:t>
      </w:r>
    </w:p>
    <w:p>
      <w:pPr>
        <w:pStyle w:val="ListParagraph"/>
        <w:numPr>
          <w:ilvl w:val="0"/>
          <w:numId w:val="2"/>
        </w:numPr>
      </w:pPr>
      <w:r>
        <w:rPr>
          <w:rFonts w:ascii="Arial" w:cs="Arial" w:eastAsia="Arial" w:hAnsi="Arial"/>
          <w:color w:val="1A1A1A"/>
          <w:sz w:val="22"/>
          <w:szCs w:val="22"/>
        </w:rPr>
        <w:t xml:space="preserve">Provides specific guidance for AI-enabled medical devices (AIeMD) and Software as a Medical Device (SaMD)</w:t>
      </w:r>
    </w:p>
    <w:p>
      <w:pPr>
        <w:spacing w:after="80"/>
      </w:pPr>
      <w:r>
        <w:t xml:space="preserve"/>
      </w:r>
    </w:p>
    <w:p>
      <w:pPr>
        <w:pBdr>
          <w:left w:val="single" w:color="0D7A77" w:sz="12" w:space="6"/>
        </w:pBdr>
        <w:shd w:fill="E8F4F4" w:val="clear"/>
        <w:spacing w:after="120" w:before="120"/>
        <w:ind w:left="360" w:right="360"/>
      </w:pPr>
      <w:r>
        <w:rPr>
          <w:rFonts w:ascii="Arial" w:cs="Arial" w:eastAsia="Arial" w:hAnsi="Arial"/>
          <w:b/>
          <w:bCs/>
          <w:color w:val="0D7A77"/>
          <w:sz w:val="22"/>
          <w:szCs w:val="22"/>
        </w:rPr>
        <w:t xml:space="preserve">Scope Note: </w:t>
      </w:r>
      <w:r>
        <w:rPr>
          <w:rFonts w:ascii="Arial" w:cs="Arial" w:eastAsia="Arial" w:hAnsi="Arial"/>
          <w:color w:val="1A1A1A"/>
          <w:sz w:val="22"/>
          <w:szCs w:val="22"/>
        </w:rPr>
        <w:t xml:space="preserve">This Annex applies to all GenAI use that could affect: the quality, safety, or performance of a medical device; regulated documentation (design history files, technical files, risk management files); or activities subject to ISO 13485 QMS certification. For purely administrative use, the parent policy applies without this Annex.</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A2. Alignment with ISO 13485:2016</w:t>
      </w:r>
    </w:p>
    <w:p>
      <w:pPr>
        <w:pStyle w:val="Heading2"/>
        <w:spacing w:after="120" w:before="280"/>
      </w:pPr>
      <w:r>
        <w:rPr>
          <w:rFonts w:ascii="Arial" w:cs="Arial" w:eastAsia="Arial" w:hAnsi="Arial"/>
          <w:b/>
          <w:bCs/>
          <w:color w:val="0D7A77"/>
          <w:sz w:val="26"/>
          <w:szCs w:val="26"/>
        </w:rPr>
        <w:t xml:space="preserve">A2.1 Overview</w:t>
      </w:r>
    </w:p>
    <w:p>
      <w:pPr>
        <w:spacing w:after="120"/>
      </w:pPr>
      <w:r>
        <w:rPr>
          <w:rFonts w:ascii="Arial" w:cs="Arial" w:eastAsia="Arial" w:hAnsi="Arial"/>
          <w:b w:val="false"/>
          <w:bCs w:val="false"/>
          <w:color w:val="1A1A1A"/>
          <w:sz w:val="22"/>
          <w:szCs w:val="22"/>
        </w:rPr>
        <w:t xml:space="preserve">ISO 13485:2016 requires a documented QMS covering the entire product lifecycle. GenAI systems that are used in any QMS-controlled process — whether for drafting documents, assisting with design, supporting regulatory submissions, or analysing quality data — must be integrated into the QMS in a manner consistent with the standard's requirements.</w:t>
      </w:r>
    </w:p>
    <w:p>
      <w:pPr>
        <w:spacing w:after="80"/>
      </w:pPr>
      <w:r>
        <w:t xml:space="preserve"/>
      </w:r>
    </w:p>
    <w:p>
      <w:pPr>
        <w:spacing w:after="120"/>
      </w:pPr>
      <w:r>
        <w:rPr>
          <w:rFonts w:ascii="Arial" w:cs="Arial" w:eastAsia="Arial" w:hAnsi="Arial"/>
          <w:b w:val="false"/>
          <w:bCs w:val="false"/>
          <w:color w:val="1A1A1A"/>
          <w:sz w:val="22"/>
          <w:szCs w:val="22"/>
        </w:rPr>
        <w:t xml:space="preserve">The table below maps the principal ISO 13485:2016 clauses to specific GenAI governance obligations derived from ISO/IEC CD TS 25568 and this organisation's AI policy.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760"/>
        <w:gridCol w:w="2400"/>
      </w:tblGrid>
      <w:tr>
        <w:trPr>
          <w:tblHeader/>
        </w:trPr>
        <w:tc>
          <w:tcPr>
            <w:tcW w:type="dxa" w:w="2100"/>
            <w:tcBorders>
              <w:top w:val="single" w:color="DDDDDD" w:sz="1"/>
              <w:left w:val="single" w:color="DDDDDD" w:sz="1"/>
              <w:bottom w:val="single" w:color="DDDDDD" w:sz="1"/>
              <w:right w:val="single" w:color="DDDDDD" w:sz="1"/>
            </w:tcBorders>
            <w:shd w:fill="0D7A77" w:val="clear"/>
            <w:tcMar>
              <w:top w:type="dxa" w:w="80"/>
              <w:left w:type="dxa" w:w="120"/>
              <w:bottom w:type="dxa" w:w="80"/>
              <w:right w:type="dxa" w:w="120"/>
            </w:tcMar>
          </w:tcPr>
          <w:p>
            <w:r>
              <w:rPr>
                <w:rFonts w:ascii="Arial" w:cs="Arial" w:eastAsia="Arial" w:hAnsi="Arial"/>
                <w:b/>
                <w:bCs/>
                <w:color w:val="FFFFFF"/>
                <w:sz w:val="20"/>
                <w:szCs w:val="20"/>
              </w:rPr>
              <w:t xml:space="preserve">ISO 13485:2016 Clause</w:t>
            </w:r>
          </w:p>
        </w:tc>
        <w:tc>
          <w:tcPr>
            <w:tcW w:type="dxa" w:w="2100"/>
            <w:tcBorders>
              <w:top w:val="single" w:color="DDDDDD" w:sz="1"/>
              <w:left w:val="single" w:color="DDDDDD" w:sz="1"/>
              <w:bottom w:val="single" w:color="DDDDDD" w:sz="1"/>
              <w:right w:val="single" w:color="DDDDDD" w:sz="1"/>
            </w:tcBorders>
            <w:shd w:fill="0D7A77" w:val="clear"/>
            <w:tcMar>
              <w:top w:type="dxa" w:w="80"/>
              <w:left w:type="dxa" w:w="120"/>
              <w:bottom w:type="dxa" w:w="80"/>
              <w:right w:type="dxa" w:w="120"/>
            </w:tcMar>
          </w:tcPr>
          <w:p>
            <w:r>
              <w:rPr>
                <w:rFonts w:ascii="Arial" w:cs="Arial" w:eastAsia="Arial" w:hAnsi="Arial"/>
                <w:b/>
                <w:bCs/>
                <w:color w:val="FFFFFF"/>
                <w:sz w:val="20"/>
                <w:szCs w:val="20"/>
              </w:rPr>
              <w:t xml:space="preserve">Clause Title</w:t>
            </w:r>
          </w:p>
        </w:tc>
        <w:tc>
          <w:tcPr>
            <w:tcW w:type="dxa" w:w="2760"/>
            <w:tcBorders>
              <w:top w:val="single" w:color="DDDDDD" w:sz="1"/>
              <w:left w:val="single" w:color="DDDDDD" w:sz="1"/>
              <w:bottom w:val="single" w:color="DDDDDD" w:sz="1"/>
              <w:right w:val="single" w:color="DDDDDD" w:sz="1"/>
            </w:tcBorders>
            <w:shd w:fill="0D7A77" w:val="clear"/>
            <w:tcMar>
              <w:top w:type="dxa" w:w="80"/>
              <w:left w:type="dxa" w:w="120"/>
              <w:bottom w:type="dxa" w:w="80"/>
              <w:right w:type="dxa" w:w="120"/>
            </w:tcMar>
          </w:tcPr>
          <w:p>
            <w:r>
              <w:rPr>
                <w:rFonts w:ascii="Arial" w:cs="Arial" w:eastAsia="Arial" w:hAnsi="Arial"/>
                <w:b/>
                <w:bCs/>
                <w:color w:val="FFFFFF"/>
                <w:sz w:val="20"/>
                <w:szCs w:val="20"/>
              </w:rPr>
              <w:t xml:space="preserve">GenAI Governance Obligation</w:t>
            </w:r>
          </w:p>
        </w:tc>
        <w:tc>
          <w:tcPr>
            <w:tcW w:type="dxa" w:w="2400"/>
            <w:tcBorders>
              <w:top w:val="single" w:color="DDDDDD" w:sz="1"/>
              <w:left w:val="single" w:color="DDDDDD" w:sz="1"/>
              <w:bottom w:val="single" w:color="DDDDDD" w:sz="1"/>
              <w:right w:val="single" w:color="DDDDDD" w:sz="1"/>
            </w:tcBorders>
            <w:shd w:fill="0D7A77" w:val="clear"/>
            <w:tcMar>
              <w:top w:type="dxa" w:w="80"/>
              <w:left w:type="dxa" w:w="120"/>
              <w:bottom w:type="dxa" w:w="80"/>
              <w:right w:type="dxa" w:w="120"/>
            </w:tcMar>
          </w:tcPr>
          <w:p>
            <w:r>
              <w:rPr>
                <w:rFonts w:ascii="Arial" w:cs="Arial" w:eastAsia="Arial" w:hAnsi="Arial"/>
                <w:b/>
                <w:bCs/>
                <w:color w:val="FFFFFF"/>
                <w:sz w:val="20"/>
                <w:szCs w:val="20"/>
              </w:rPr>
              <w:t xml:space="preserve">Implementation Requirement</w:t>
            </w:r>
          </w:p>
        </w:tc>
      </w:tr>
      <w:tr>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4.1
4.2.4
4.2.5</w:t>
            </w:r>
          </w:p>
        </w:tc>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QMS — General
Control of Documents
Control of Records</w:t>
            </w:r>
          </w:p>
        </w:tc>
        <w:tc>
          <w:tcPr>
            <w:tcW w:type="dxa" w:w="2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Any document or record generated with GenAI assistance must be subject to the same document and records control requirements as conventionally authored documents.</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AI-generated content in controlled documents must be identified and subject to review, approval, and version control. Records of AI system use (tool, version, date, reviewer) must be maintained. AI use must not circumvent document control workflows.</w:t>
            </w:r>
          </w:p>
        </w:tc>
      </w:tr>
      <w:tr>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5.1
5.5</w:t>
            </w:r>
          </w:p>
        </w:tc>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Management Responsibility
Responsibility and Authority</w:t>
            </w:r>
          </w:p>
        </w:tc>
        <w:tc>
          <w:tcPr>
            <w:tcW w:type="dxa" w:w="2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Senior management must demonstrate commitment to AI governance. Responsibility for GenAI use within the QMS must be clearly assigned.</w:t>
            </w:r>
          </w:p>
        </w:tc>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Include AI governance in Management Review agenda (see §A2.2). Assign ownership of AI Use Register and AI risk assessments to named functions. Communicate AI policy to all relevant personnel.</w:t>
            </w:r>
          </w:p>
        </w:tc>
      </w:tr>
      <w:tr>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6.2</w:t>
            </w:r>
          </w:p>
        </w:tc>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Human Resources</w:t>
            </w:r>
          </w:p>
        </w:tc>
        <w:tc>
          <w:tcPr>
            <w:tcW w:type="dxa" w:w="2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Personnel using GenAI in QMS-controlled activities must be competent in both the subject matter and the appropriate use and limitations of GenAI.</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Define AI literacy as a competency requirement for relevant roles. Maintain training records demonstrating competence. Include AI-related tasks in job descriptions and training plans where applicable.</w:t>
            </w:r>
          </w:p>
        </w:tc>
      </w:tr>
      <w:tr>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6.3
6.4</w:t>
            </w:r>
          </w:p>
        </w:tc>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Infrastructure
Work Environment</w:t>
            </w:r>
          </w:p>
        </w:tc>
        <w:tc>
          <w:tcPr>
            <w:tcW w:type="dxa" w:w="2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GenAI infrastructure must be validated, controlled, and maintained. The work environment (including digital tools) must not adversely affect product quality.</w:t>
            </w:r>
          </w:p>
        </w:tc>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GenAI systems used in regulated processes require documented qualification. IT infrastructure supporting GenAI must be covered by IT change control. Cybersecurity controls for GenAI (per ISO/IEC CD TS 25568 §6.11) are a work environment requirement.</w:t>
            </w:r>
          </w:p>
        </w:tc>
      </w:tr>
      <w:tr>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7.1</w:t>
            </w:r>
          </w:p>
        </w:tc>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Product Realisation Planning</w:t>
            </w:r>
          </w:p>
        </w:tc>
        <w:tc>
          <w:tcPr>
            <w:tcW w:type="dxa" w:w="2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GenAI use in product realisation activities (design, development, manufacturing) must be planned, including risk controls and verification activities.</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Document GenAI use in design and development plans. Include AI-related verification steps in quality plans. Reference the AI Use Register entry for each use case.</w:t>
            </w:r>
          </w:p>
        </w:tc>
      </w:tr>
      <w:tr>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7.2.1
7.2.3</w:t>
            </w:r>
          </w:p>
        </w:tc>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Determination of Product Requirements
Customer Communication</w:t>
            </w:r>
          </w:p>
        </w:tc>
        <w:tc>
          <w:tcPr>
            <w:tcW w:type="dxa" w:w="2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AI-generated customer or regulatory communications must meet applicable requirements. Confabulation risk is particularly relevant for AI-generated regulatory correspondence.</w:t>
            </w:r>
          </w:p>
        </w:tc>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AI-generated regulatory communications must be reviewed by a qualified regulatory affairs professional before submission. Automated AI responses to customer queries require human oversight if safety-relevant.</w:t>
            </w:r>
          </w:p>
        </w:tc>
      </w:tr>
      <w:tr>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7.3</w:t>
            </w:r>
          </w:p>
        </w:tc>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Design and Development</w:t>
            </w:r>
          </w:p>
        </w:tc>
        <w:tc>
          <w:tcPr>
            <w:tcW w:type="dxa" w:w="2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GenAI used to support design and development activities (e.g. generating design inputs, risk analyses, test protocols, or software code) must be controlled as part of the design and development process.</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Include GenAI outputs in design review. AI-generated design inputs require verification against user needs and intended use. AI-assisted risk analyses require independent expert validation. See §A3 for ISO 14971 integration.</w:t>
            </w:r>
          </w:p>
        </w:tc>
      </w:tr>
      <w:tr>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7.4</w:t>
            </w:r>
          </w:p>
        </w:tc>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Purchasing</w:t>
            </w:r>
          </w:p>
        </w:tc>
        <w:tc>
          <w:tcPr>
            <w:tcW w:type="dxa" w:w="2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 systems and AI-enabled software procured from suppliers are subject to supplier qualification and control requirements.</w:t>
            </w:r>
          </w:p>
        </w:tc>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Include AI vendors in the Approved Supplier List. Conduct AI-specific supplier qualification (training data transparency, security, contractual accountability, change notification). Apply supplier monitoring to AI vendors. Require supplier notification of model changes that could affect supplied AI functionality.</w:t>
            </w:r>
          </w:p>
        </w:tc>
      </w:tr>
      <w:tr>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7.5.1
7.5.6</w:t>
            </w:r>
          </w:p>
        </w:tc>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Production and Service Provision
Validation of Processes</w:t>
            </w:r>
          </w:p>
        </w:tc>
        <w:tc>
          <w:tcPr>
            <w:tcW w:type="dxa" w:w="2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Any production or service process that relies on GenAI output must be validated if the output cannot be fully verified by subsequent inspection.</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Apply process validation principles to AI-assisted production processes. Validate AI tools used in production to demonstrate they consistently produce acceptable outputs within defined parameters. Document acceptance criteria for AI-generated outputs.</w:t>
            </w:r>
          </w:p>
        </w:tc>
      </w:tr>
      <w:tr>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7.5.9</w:t>
            </w:r>
          </w:p>
        </w:tc>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Traceability</w:t>
            </w:r>
          </w:p>
        </w:tc>
        <w:tc>
          <w:tcPr>
            <w:tcW w:type="dxa" w:w="2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Where traceability is required, AI use in generating or processing traceability data must be controlled and auditable.</w:t>
            </w:r>
          </w:p>
        </w:tc>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Maintain logs of AI system inputs and outputs in traceability-critical processes. Ensure AI systems cannot modify traceability records without audit trail. See also §A2.3 on records.</w:t>
            </w:r>
          </w:p>
        </w:tc>
      </w:tr>
      <w:tr>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7.6</w:t>
            </w:r>
          </w:p>
        </w:tc>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Control of Monitoring and Measuring Equipment</w:t>
            </w:r>
          </w:p>
        </w:tc>
        <w:tc>
          <w:tcPr>
            <w:tcW w:type="dxa" w:w="2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Where GenAI is used as a monitoring or measuring tool (e.g. for quality data analysis), calibration and performance verification principles apply.</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Define acceptance criteria and performance metrics for AI monitoring tools. Conduct periodic performance reviews against defined criteria. Maintain records of AI monitoring tool validation and re-qualification.</w:t>
            </w:r>
          </w:p>
        </w:tc>
      </w:tr>
      <w:tr>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8.2.1
8.2.2</w:t>
            </w:r>
          </w:p>
        </w:tc>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Feedback
Complaints</w:t>
            </w:r>
          </w:p>
        </w:tc>
        <w:tc>
          <w:tcPr>
            <w:tcW w:type="dxa" w:w="2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 must not introduce barriers to the collection or processing of post-market feedback and complaints. AI-assisted complaint analysis requires human oversight.</w:t>
            </w:r>
          </w:p>
        </w:tc>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AI-generated complaint categorisations and trend analyses require qualified review before action. Maintain AI use records in complaint files. AI must not suppress or misclassify safety-relevant complaints.</w:t>
            </w:r>
          </w:p>
        </w:tc>
      </w:tr>
      <w:tr>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8.2.3
8.2.4</w:t>
            </w:r>
          </w:p>
        </w:tc>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Reporting to Regulatory Authorities
Internal Audit</w:t>
            </w:r>
          </w:p>
        </w:tc>
        <w:tc>
          <w:tcPr>
            <w:tcW w:type="dxa" w:w="2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AI-generated regulatory reports require qualified human authorship and sign-off. AI use in QMS processes is an audit scope item.</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Qualified Person must author and sign all regulatory reports, even where AI was used as a drafting tool. Include review of AI use register and AI-related CAPA in internal audit programme.</w:t>
            </w:r>
          </w:p>
        </w:tc>
      </w:tr>
      <w:tr>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8.3</w:t>
            </w:r>
          </w:p>
        </w:tc>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Control of Nonconforming Product</w:t>
            </w:r>
          </w:p>
        </w:tc>
        <w:tc>
          <w:tcPr>
            <w:tcW w:type="dxa" w:w="2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AI-generated content that is found to be confabulated, inaccurate, or otherwise nonconforming must be managed through the nonconformance process.</w:t>
            </w:r>
          </w:p>
        </w:tc>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Define AI-related nonconformances (e.g. detection of hallucinated content in a controlled document). Raise nonconformance reports for confirmed AI confabulation events affecting quality. Evaluate need for CAPA and regulatory notification where patient safety could be affected.</w:t>
            </w:r>
          </w:p>
        </w:tc>
      </w:tr>
      <w:tr>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8.4</w:t>
            </w:r>
          </w:p>
        </w:tc>
        <w:tc>
          <w:tcPr>
            <w:tcW w:type="dxa" w:w="21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Analysis of Data</w:t>
            </w:r>
          </w:p>
        </w:tc>
        <w:tc>
          <w:tcPr>
            <w:tcW w:type="dxa" w:w="2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 used for analysis of quality data (complaints, audit findings, process performance) must produce reliable, unbiased outputs.</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Validate AI data analysis tools. Review AI-generated analyses for confabulation and bias (per ISO/IEC CD TS 25568 §6.6 and §6.10). Qualified personnel must interpret and act on AI-generated quality analyses.</w:t>
            </w:r>
          </w:p>
        </w:tc>
      </w:tr>
      <w:tr>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8.5</w:t>
            </w:r>
          </w:p>
        </w:tc>
        <w:tc>
          <w:tcPr>
            <w:tcW w:type="dxa" w:w="21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Improvement
CAPAs</w:t>
            </w:r>
          </w:p>
        </w:tc>
        <w:tc>
          <w:tcPr>
            <w:tcW w:type="dxa" w:w="2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 incidents (confabulation, data leakage, security events) that affect the QMS must be managed through the CAPA system.</w:t>
            </w:r>
          </w:p>
        </w:tc>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Define AI incident categories in the CAPA procedure. Conduct root cause analysis for significant AI quality events. Trend AI-related nonconformances and CAPAs for Management Review. Include AI system performance in preventive action planning.</w:t>
            </w:r>
          </w:p>
        </w:tc>
      </w:tr>
    </w:tbl>
    <w:p>
      <w:pPr>
        <w:spacing w:after="80"/>
      </w:pPr>
      <w:r>
        <w:t xml:space="preserve"/>
      </w:r>
    </w:p>
    <w:p>
      <w:pPr>
        <w:pStyle w:val="Heading2"/>
        <w:spacing w:after="120" w:before="280"/>
      </w:pPr>
      <w:r>
        <w:rPr>
          <w:rFonts w:ascii="Arial" w:cs="Arial" w:eastAsia="Arial" w:hAnsi="Arial"/>
          <w:b/>
          <w:bCs/>
          <w:color w:val="0D7A77"/>
          <w:sz w:val="26"/>
          <w:szCs w:val="26"/>
        </w:rPr>
        <w:t xml:space="preserve">A2.2 Management Review — AI Governance Agenda Items</w:t>
      </w:r>
    </w:p>
    <w:p>
      <w:pPr>
        <w:spacing w:after="120"/>
      </w:pPr>
      <w:r>
        <w:rPr>
          <w:rFonts w:ascii="Arial" w:cs="Arial" w:eastAsia="Arial" w:hAnsi="Arial"/>
          <w:b w:val="false"/>
          <w:bCs w:val="false"/>
          <w:color w:val="1A1A1A"/>
          <w:sz w:val="22"/>
          <w:szCs w:val="22"/>
        </w:rPr>
        <w:t xml:space="preserve">The Management Review process (ISO 13485:2016 §5.6) must include agenda items addressing GenAI governance. The following items shall be included at each Management Review:</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Management Review Input (ISO 13485 §5.6.2)</w:t>
            </w:r>
          </w:p>
        </w:tc>
        <w:tc>
          <w:tcPr>
            <w:tcW w:type="dxa" w:w="57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AI-Specific Considerations</w:t>
            </w:r>
          </w:p>
        </w:tc>
      </w:tr>
      <w:tr>
        <w:tc>
          <w:tcPr>
            <w:tcW w:type="dxa" w:w="3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Results of audits</w:t>
            </w:r>
          </w:p>
        </w:tc>
        <w:tc>
          <w:tcPr>
            <w:tcW w:type="dxa" w:w="5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Include findings related to AI use register compliance, human oversight adherence, and AI-related document control. Report any audit findings from notified body or competent authority relating to AI use.</w:t>
            </w:r>
          </w:p>
        </w:tc>
      </w:tr>
      <w:tr>
        <w:tc>
          <w:tcPr>
            <w:tcW w:type="dxa" w:w="36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Customer feedback</w:t>
            </w:r>
          </w:p>
        </w:tc>
        <w:tc>
          <w:tcPr>
            <w:tcW w:type="dxa" w:w="5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Review AI-related complaints or feedback, including any cases where AI-generated content contributed to a quality event.</w:t>
            </w:r>
          </w:p>
        </w:tc>
      </w:tr>
      <w:tr>
        <w:tc>
          <w:tcPr>
            <w:tcW w:type="dxa" w:w="3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Process performance and product conformity</w:t>
            </w:r>
          </w:p>
        </w:tc>
        <w:tc>
          <w:tcPr>
            <w:tcW w:type="dxa" w:w="5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Review performance metrics for AI systems used in QMS-controlled processes. Report instances of detected confabulation or AI-related nonconformances.</w:t>
            </w:r>
          </w:p>
        </w:tc>
      </w:tr>
      <w:tr>
        <w:tc>
          <w:tcPr>
            <w:tcW w:type="dxa" w:w="36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Status of preventive and corrective actions</w:t>
            </w:r>
          </w:p>
        </w:tc>
        <w:tc>
          <w:tcPr>
            <w:tcW w:type="dxa" w:w="5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Report status of AI-related CAPAs. Trend analysis of AI incidents.</w:t>
            </w:r>
          </w:p>
        </w:tc>
      </w:tr>
      <w:tr>
        <w:tc>
          <w:tcPr>
            <w:tcW w:type="dxa" w:w="3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Changes that could affect the QMS</w:t>
            </w:r>
          </w:p>
        </w:tc>
        <w:tc>
          <w:tcPr>
            <w:tcW w:type="dxa" w:w="5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Report material changes to AI systems in use, including foundation model updates from vendors, new AI use cases pending approval, and changes in regulatory requirements for AI (EU AI Act implementing acts, notified body guidance).</w:t>
            </w:r>
          </w:p>
        </w:tc>
      </w:tr>
      <w:tr>
        <w:tc>
          <w:tcPr>
            <w:tcW w:type="dxa" w:w="36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Recommendations for improvement</w:t>
            </w:r>
          </w:p>
        </w:tc>
        <w:tc>
          <w:tcPr>
            <w:tcW w:type="dxa" w:w="57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Review AI governance framework effectiveness. Consider emerging standards (finalised ISO/IEC TS 25568, ISO/IEC 42005). Review resourcing for AI oversight.</w:t>
            </w:r>
          </w:p>
        </w:tc>
      </w:tr>
    </w:tbl>
    <w:p>
      <w:pPr>
        <w:spacing w:after="80"/>
      </w:pPr>
      <w:r>
        <w:t xml:space="preserve"/>
      </w:r>
    </w:p>
    <w:p>
      <w:pPr>
        <w:pStyle w:val="Heading2"/>
        <w:spacing w:after="120" w:before="280"/>
      </w:pPr>
      <w:r>
        <w:rPr>
          <w:rFonts w:ascii="Arial" w:cs="Arial" w:eastAsia="Arial" w:hAnsi="Arial"/>
          <w:b/>
          <w:bCs/>
          <w:color w:val="0D7A77"/>
          <w:sz w:val="26"/>
          <w:szCs w:val="26"/>
        </w:rPr>
        <w:t xml:space="preserve">A2.3 Document and Records Control for AI-Generated Content</w:t>
      </w:r>
    </w:p>
    <w:p>
      <w:pPr>
        <w:spacing w:after="120"/>
      </w:pPr>
      <w:r>
        <w:rPr>
          <w:rFonts w:ascii="Arial" w:cs="Arial" w:eastAsia="Arial" w:hAnsi="Arial"/>
          <w:b w:val="false"/>
          <w:bCs w:val="false"/>
          <w:color w:val="1A1A1A"/>
          <w:sz w:val="22"/>
          <w:szCs w:val="22"/>
        </w:rPr>
        <w:t xml:space="preserve">AI-generated content requires specific controls within the document management system to ensure integrity, traceability, and auditability:</w:t>
      </w:r>
    </w:p>
    <w:p>
      <w:pPr>
        <w:spacing w:after="80"/>
      </w:pPr>
      <w:r>
        <w:t xml:space="preserve"/>
      </w:r>
    </w:p>
    <w:p>
      <w:pPr>
        <w:pStyle w:val="ListParagraph"/>
        <w:numPr>
          <w:ilvl w:val="0"/>
          <w:numId w:val="2"/>
        </w:numPr>
      </w:pPr>
      <w:r>
        <w:rPr>
          <w:rFonts w:ascii="Arial" w:cs="Arial" w:eastAsia="Arial" w:hAnsi="Arial"/>
          <w:color w:val="1A1A1A"/>
          <w:sz w:val="22"/>
          <w:szCs w:val="22"/>
        </w:rPr>
        <w:t xml:space="preserve">AI Authorship Declaration: Any controlled document that includes AI-generated content shall carry an AI authorship declaration identifying the AI system used, version, date of use, and the qualified human reviewer who verified the content.</w:t>
      </w:r>
    </w:p>
    <w:p>
      <w:pPr>
        <w:pStyle w:val="ListParagraph"/>
        <w:numPr>
          <w:ilvl w:val="0"/>
          <w:numId w:val="2"/>
        </w:numPr>
      </w:pPr>
      <w:r>
        <w:rPr>
          <w:rFonts w:ascii="Arial" w:cs="Arial" w:eastAsia="Arial" w:hAnsi="Arial"/>
          <w:color w:val="1A1A1A"/>
          <w:sz w:val="22"/>
          <w:szCs w:val="22"/>
        </w:rPr>
        <w:t xml:space="preserve">Review Evidence: The review record shall specifically confirm that AI-generated content was verified against primary sources, not merely read for plausibility. Reviewers shall attest that they have exercised independent professional judgement.</w:t>
      </w:r>
    </w:p>
    <w:p>
      <w:pPr>
        <w:pStyle w:val="ListParagraph"/>
        <w:numPr>
          <w:ilvl w:val="0"/>
          <w:numId w:val="2"/>
        </w:numPr>
      </w:pPr>
      <w:r>
        <w:rPr>
          <w:rFonts w:ascii="Arial" w:cs="Arial" w:eastAsia="Arial" w:hAnsi="Arial"/>
          <w:color w:val="1A1A1A"/>
          <w:sz w:val="22"/>
          <w:szCs w:val="22"/>
        </w:rPr>
        <w:t xml:space="preserve">Version Control: AI use records shall be maintained as part of the document history, including the AI system version at the time of authorship (since model updates may change outputs for identical prompts).</w:t>
      </w:r>
    </w:p>
    <w:p>
      <w:pPr>
        <w:pStyle w:val="ListParagraph"/>
        <w:numPr>
          <w:ilvl w:val="0"/>
          <w:numId w:val="2"/>
        </w:numPr>
      </w:pPr>
      <w:r>
        <w:rPr>
          <w:rFonts w:ascii="Arial" w:cs="Arial" w:eastAsia="Arial" w:hAnsi="Arial"/>
          <w:color w:val="1A1A1A"/>
          <w:sz w:val="22"/>
          <w:szCs w:val="22"/>
        </w:rPr>
        <w:t xml:space="preserve">Audit Trail: Logs of AI system inputs and outputs for regulated documents shall be retained for at least the period required for the relevant document type under applicable regulatory requirements (minimum: lifetime of device + post-market surveillance period).</w:t>
      </w:r>
    </w:p>
    <w:p>
      <w:pPr>
        <w:pStyle w:val="ListParagraph"/>
        <w:numPr>
          <w:ilvl w:val="0"/>
          <w:numId w:val="2"/>
        </w:numPr>
      </w:pPr>
      <w:r>
        <w:rPr>
          <w:rFonts w:ascii="Arial" w:cs="Arial" w:eastAsia="Arial" w:hAnsi="Arial"/>
          <w:color w:val="1A1A1A"/>
          <w:sz w:val="22"/>
          <w:szCs w:val="22"/>
        </w:rPr>
        <w:t xml:space="preserve">Deletion and Retirement: When AI systems are retired or replaced, disposal of associated model weights and fine-tuning data shall be managed in accordance with data disposal procedures (ISO/IEC CD TS 25568 §7.9).</w:t>
      </w:r>
    </w:p>
    <w:p>
      <w:pPr>
        <w:spacing w:after="80"/>
      </w:pPr>
      <w:r>
        <w:t xml:space="preserve"/>
      </w:r>
    </w:p>
    <w:p>
      <w:pPr>
        <w:pBdr>
          <w:left w:val="single" w:color="0D7A77" w:sz="12" w:space="6"/>
        </w:pBdr>
        <w:shd w:fill="E8F4F4" w:val="clear"/>
        <w:spacing w:after="120" w:before="120"/>
        <w:ind w:left="360" w:right="360"/>
      </w:pPr>
      <w:r>
        <w:rPr>
          <w:rFonts w:ascii="Arial" w:cs="Arial" w:eastAsia="Arial" w:hAnsi="Arial"/>
          <w:b/>
          <w:bCs/>
          <w:color w:val="0D7A77"/>
          <w:sz w:val="22"/>
          <w:szCs w:val="22"/>
        </w:rPr>
        <w:t xml:space="preserve">Warning — Confabulated Citations: </w:t>
      </w:r>
      <w:r>
        <w:rPr>
          <w:rFonts w:ascii="Arial" w:cs="Arial" w:eastAsia="Arial" w:hAnsi="Arial"/>
          <w:color w:val="1A1A1A"/>
          <w:sz w:val="22"/>
          <w:szCs w:val="22"/>
        </w:rPr>
        <w:t xml:space="preserve">A particular risk in regulatory and technical documentation is AI-generated citations to non-existent or misrepresented standards, guidance documents, and published literature. All bibliographic references in controlled documents must be independently verified before document approval, regardless of whether AI was used in drafting. This is not a verification that can be delegated to AI.</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A3. Alignment with ISO 14971:2019</w:t>
      </w:r>
    </w:p>
    <w:p>
      <w:pPr>
        <w:pStyle w:val="Heading2"/>
        <w:spacing w:after="120" w:before="280"/>
      </w:pPr>
      <w:r>
        <w:rPr>
          <w:rFonts w:ascii="Arial" w:cs="Arial" w:eastAsia="Arial" w:hAnsi="Arial"/>
          <w:b/>
          <w:bCs/>
          <w:color w:val="0D7A77"/>
          <w:sz w:val="26"/>
          <w:szCs w:val="26"/>
        </w:rPr>
        <w:t xml:space="preserve">A3.1 Overview</w:t>
      </w:r>
    </w:p>
    <w:p>
      <w:pPr>
        <w:spacing w:after="120"/>
      </w:pPr>
      <w:r>
        <w:rPr>
          <w:rFonts w:ascii="Arial" w:cs="Arial" w:eastAsia="Arial" w:hAnsi="Arial"/>
          <w:b w:val="false"/>
          <w:bCs w:val="false"/>
          <w:color w:val="1A1A1A"/>
          <w:sz w:val="22"/>
          <w:szCs w:val="22"/>
        </w:rPr>
        <w:t xml:space="preserve">ISO 14971:2019 defines the requirements for a risk management process applied to medical devices throughout the lifecycle. GenAI systems interact with this process in two distinct ways that must each be addressed:</w:t>
      </w:r>
    </w:p>
    <w:p>
      <w:pPr>
        <w:spacing w:after="80"/>
      </w:pPr>
      <w:r>
        <w:t xml:space="preserve"/>
      </w:r>
    </w:p>
    <w:p>
      <w:pPr>
        <w:pStyle w:val="ListParagraph"/>
        <w:numPr>
          <w:ilvl w:val="0"/>
          <w:numId w:val="2"/>
        </w:numPr>
      </w:pPr>
      <w:r>
        <w:rPr>
          <w:rFonts w:ascii="Arial" w:cs="Arial" w:eastAsia="Arial" w:hAnsi="Arial"/>
          <w:color w:val="1A1A1A"/>
          <w:sz w:val="22"/>
          <w:szCs w:val="22"/>
        </w:rPr>
        <w:t xml:space="preserve">GenAI as a Hazard Source: When GenAI systems are used in processes that could affect device safety or performance, the AI itself is a potential hazard source that must be analysed within the device's risk management file.</w:t>
      </w:r>
    </w:p>
    <w:p>
      <w:pPr>
        <w:pStyle w:val="ListParagraph"/>
        <w:numPr>
          <w:ilvl w:val="0"/>
          <w:numId w:val="2"/>
        </w:numPr>
      </w:pPr>
      <w:r>
        <w:rPr>
          <w:rFonts w:ascii="Arial" w:cs="Arial" w:eastAsia="Arial" w:hAnsi="Arial"/>
          <w:color w:val="1A1A1A"/>
          <w:sz w:val="22"/>
          <w:szCs w:val="22"/>
        </w:rPr>
        <w:t xml:space="preserve">GenAI as a Risk Management Tool: When GenAI is used to assist in conducting risk management activities (e.g. drafting hazard analyses, FMEA, use error analyses), the limitations of GenAI must be managed to ensure the integrity of the risk management output.</w:t>
      </w:r>
    </w:p>
    <w:p>
      <w:pPr>
        <w:spacing w:after="80"/>
      </w:pPr>
      <w:r>
        <w:t xml:space="preserve"/>
      </w:r>
    </w:p>
    <w:p>
      <w:pPr>
        <w:pStyle w:val="Heading2"/>
        <w:spacing w:after="120" w:before="280"/>
      </w:pPr>
      <w:r>
        <w:rPr>
          <w:rFonts w:ascii="Arial" w:cs="Arial" w:eastAsia="Arial" w:hAnsi="Arial"/>
          <w:b/>
          <w:bCs/>
          <w:color w:val="0D7A77"/>
          <w:sz w:val="26"/>
          <w:szCs w:val="26"/>
        </w:rPr>
        <w:t xml:space="preserve">A3.2 Integrating GenAI into the ISO 14971 Risk Management Process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rPr>
          <w:tblHeader/>
        </w:trPr>
        <w:tc>
          <w:tcPr>
            <w:tcW w:type="dxa" w:w="22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ISO 14971:2019 Process Step</w:t>
            </w:r>
          </w:p>
        </w:tc>
        <w:tc>
          <w:tcPr>
            <w:tcW w:type="dxa" w:w="358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GenAI Hazard Source Considerations</w:t>
            </w:r>
          </w:p>
        </w:tc>
        <w:tc>
          <w:tcPr>
            <w:tcW w:type="dxa" w:w="358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GenAI as Risk Tool — Controls Required</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4 — Risk Management Plan</w:t>
            </w:r>
          </w:p>
        </w:tc>
        <w:tc>
          <w:tcPr>
            <w:tcW w:type="dxa" w:w="3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Document the scope of GenAI use within the risk management plan. Identify which processes in the risk management file involve AI-generated content and define the verification requirements for that content.</w:t>
            </w:r>
          </w:p>
        </w:tc>
        <w:tc>
          <w:tcPr>
            <w:tcW w:type="dxa" w:w="3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The risk management plan must specify that AI-assisted risk analyses require independent expert validation. Define acceptance criteria for AI-generated risk estimates and risk control measures.</w:t>
            </w:r>
          </w:p>
        </w:tc>
      </w:tr>
      <w:tr>
        <w:tc>
          <w:tcPr>
            <w:tcW w:type="dxa" w:w="22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5.2 — Intended Use and Reasonably Foreseeable Misuse</w:t>
            </w:r>
          </w:p>
        </w:tc>
        <w:tc>
          <w:tcPr>
            <w:tcW w:type="dxa" w:w="35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Where AI generates or contributes to intended use definitions, use scenarios, or use error analyses, confabulation could result in incomplete or inaccurate intended use documentation — a regulatory critical failure.
AI-assisted device features: if the device itself uses AI, document the AI's intended use, user population, and use environment with the same rigour as other intended use elements.</w:t>
            </w:r>
          </w:p>
        </w:tc>
        <w:tc>
          <w:tcPr>
            <w:tcW w:type="dxa" w:w="35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Intended use statements must be authored by qualified clinical/regulatory personnel. AI-generated drafts of intended use documentation require expert review and validation against clinical evidence and user research.</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5.3 — Hazard Identification</w:t>
            </w:r>
          </w:p>
        </w:tc>
        <w:tc>
          <w:tcPr>
            <w:tcW w:type="dxa" w:w="3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GenAI used in hazard identification (e.g. reviewing historical data, literature mining, generating hazard checklists) may confabulate hazards, miss systematic hazard categories, or introduce bias from training data.
AI-enabled device features introduce new hazard categories: confabulated diagnostic outputs, automation bias in clinical users, loss of control in autonomous systems, privacy breaches from patient data processing.</w:t>
            </w:r>
          </w:p>
        </w:tc>
        <w:tc>
          <w:tcPr>
            <w:tcW w:type="dxa" w:w="3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AI-generated hazard lists must be reviewed by a qualified risk management team against recognised hazard taxonomies (IEC 60601-1, IEC 62366, applicable vertical standards). AI must not be the sole or primary hazard identification method.</w:t>
            </w:r>
          </w:p>
        </w:tc>
      </w:tr>
      <w:tr>
        <w:tc>
          <w:tcPr>
            <w:tcW w:type="dxa" w:w="22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5.4 — Risk Estimation</w:t>
            </w:r>
          </w:p>
        </w:tc>
        <w:tc>
          <w:tcPr>
            <w:tcW w:type="dxa" w:w="35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AI-generated probability and severity estimates may reflect training data biases rather than device-specific clinical evidence. Automated risk scoring using AI requires validation of the scoring algorithm.</w:t>
            </w:r>
          </w:p>
        </w:tc>
        <w:tc>
          <w:tcPr>
            <w:tcW w:type="dxa" w:w="35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Risk estimates for safety-critical hazards must be based on verified clinical evidence, post-market surveillance data, and expert judgement. AI-generated risk estimates are inputs to be validated, not outputs to be accepted.</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5.5 — Risk Evaluation</w:t>
            </w:r>
          </w:p>
        </w:tc>
        <w:tc>
          <w:tcPr>
            <w:tcW w:type="dxa" w:w="3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 may be used to support risk-benefit analysis, but the judgement of acceptability of residual risk is a regulatory and clinical decision that cannot be delegated to AI.</w:t>
            </w:r>
          </w:p>
        </w:tc>
        <w:tc>
          <w:tcPr>
            <w:tcW w:type="dxa" w:w="3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Risk acceptability decisions must be made by qualified personnel with appropriate clinical, regulatory, and engineering expertise. AI-generated risk evaluations require documented human sign-off by a named, qualified individual.</w:t>
            </w:r>
          </w:p>
        </w:tc>
      </w:tr>
      <w:tr>
        <w:tc>
          <w:tcPr>
            <w:tcW w:type="dxa" w:w="22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6 — Risk Control</w:t>
            </w:r>
          </w:p>
        </w:tc>
        <w:tc>
          <w:tcPr>
            <w:tcW w:type="dxa" w:w="35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 may generate candidate risk control measures. There is a risk that AI-generated controls are generic, inapplicable, or miss device-specific hazard mechanisms.
For AI-enabled devices: risk controls for AI-specific hazards must address the root causes identified in §6.11 of ISO/IEC CD TS 25568 (confabulation, automation bias, prompt injection, data privacy).</w:t>
            </w:r>
          </w:p>
        </w:tc>
        <w:tc>
          <w:tcPr>
            <w:tcW w:type="dxa" w:w="35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AI-generated risk control measures must be evaluated for technical feasibility and effectiveness by qualified engineers. Implementation of AI-generated controls requires design verification and validation per the design and development procedure.</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7 — Residual Risk Evaluation
8 — Overall Residual Risk</w:t>
            </w:r>
          </w:p>
        </w:tc>
        <w:tc>
          <w:tcPr>
            <w:tcW w:type="dxa" w:w="3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Where AI has contributed to the risk management file, the overall residual risk evaluation must include an assessment of the completeness and reliability of AI-generated content within the file.</w:t>
            </w:r>
          </w:p>
        </w:tc>
        <w:tc>
          <w:tcPr>
            <w:tcW w:type="dxa" w:w="3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The risk management report (ISO 14971 §9) must include a statement regarding AI use in the risk management process and confirmation that all AI-generated content has been independently verified.</w:t>
            </w:r>
          </w:p>
        </w:tc>
      </w:tr>
      <w:tr>
        <w:tc>
          <w:tcPr>
            <w:tcW w:type="dxa" w:w="22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9 — Risk Management Report</w:t>
            </w:r>
          </w:p>
        </w:tc>
        <w:tc>
          <w:tcPr>
            <w:tcW w:type="dxa" w:w="35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The risk management report must document all significant risk management decisions, including those related to AI-specific hazards for AI-enabled devices.</w:t>
            </w:r>
          </w:p>
        </w:tc>
        <w:tc>
          <w:tcPr>
            <w:tcW w:type="dxa" w:w="35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Where AI was used in the risk management process, the report shall identify: the AI systems used, the human oversight applied, and any AI-specific risks to the integrity of the risk analysis that were identified and addressed.</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10 — Production and Post-Production</w:t>
            </w:r>
          </w:p>
        </w:tc>
        <w:tc>
          <w:tcPr>
            <w:tcW w:type="dxa" w:w="3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Post-market surveillance and vigilance activities that use AI for complaint analysis, signal detection, or benefit-risk updates require human oversight to avoid automation bias and confabulation in safety-critical signal detection.</w:t>
            </w:r>
          </w:p>
        </w:tc>
        <w:tc>
          <w:tcPr>
            <w:tcW w:type="dxa" w:w="3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AI-generated post-market surveillance reports and PSUR/PMCF inputs require qualified review. Any AI-generated safety signal must be evaluated by a qualified person before regulatory reporting decisions are made.</w:t>
            </w:r>
          </w:p>
        </w:tc>
      </w:tr>
    </w:tbl>
    <w:p>
      <w:pPr>
        <w:spacing w:after="80"/>
      </w:pPr>
      <w:r>
        <w:t xml:space="preserve"/>
      </w:r>
    </w:p>
    <w:p>
      <w:pPr>
        <w:pStyle w:val="Heading2"/>
        <w:spacing w:after="120" w:before="280"/>
      </w:pPr>
      <w:r>
        <w:rPr>
          <w:rFonts w:ascii="Arial" w:cs="Arial" w:eastAsia="Arial" w:hAnsi="Arial"/>
          <w:b/>
          <w:bCs/>
          <w:color w:val="0D7A77"/>
          <w:sz w:val="26"/>
          <w:szCs w:val="26"/>
        </w:rPr>
        <w:t xml:space="preserve">A3.3 Hazard Categories for AI-Enabled Medical Devices (AIeMD)</w:t>
      </w:r>
    </w:p>
    <w:p>
      <w:pPr>
        <w:spacing w:after="120"/>
      </w:pPr>
      <w:r>
        <w:rPr>
          <w:rFonts w:ascii="Arial" w:cs="Arial" w:eastAsia="Arial" w:hAnsi="Arial"/>
          <w:b w:val="false"/>
          <w:bCs w:val="false"/>
          <w:color w:val="1A1A1A"/>
          <w:sz w:val="22"/>
          <w:szCs w:val="22"/>
        </w:rPr>
        <w:t xml:space="preserve">Where the medical device itself incorporates GenAI or other AI/ML components, the following hazard categories shall be included in the hazard identification process (ISO 14971 §5.3). These categories are derived from ISO/IEC CD TS 25568 Clause 6 and 7 and shall be systematically evaluated: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Hazard Category (ISO/IEC CD TS 25568 Source)</w:t>
            </w:r>
          </w:p>
        </w:tc>
        <w:tc>
          <w:tcPr>
            <w:tcW w:type="dxa" w:w="61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Examples of Hazardous Situations for AIeMD</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Confabulation / Veracity Failure
(§6.6.2, §7.6.3)</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 diagnostic system generates a confident but incorrect diagnosis. AI-generated clinical decision support recommendation is based on hallucinated evidence. AI summarises a patient record with fabricated clinical history. Automated AI-generated labelling contains incorrect instructions for use.</w:t>
            </w:r>
          </w:p>
        </w:tc>
      </w:tr>
      <w:tr>
        <w:tc>
          <w:tcPr>
            <w:tcW w:type="dxa" w:w="32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Automation Bias
(§6.3.2)</w:t>
            </w:r>
          </w:p>
        </w:tc>
        <w:tc>
          <w:tcPr>
            <w:tcW w:type="dxa" w:w="61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Clinician accepts AI diagnostic output without independent verification, relying on perceived AI authority. User over-rides clinical judgement based on incorrect AI recommendation. Decreased user vigilance due to extended reliable AI performance followed by critical failure.</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Loss of Human Control / Autonomous Behaviour
(§6.3.3)</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Agentic AI system initiates clinical actions or device configurations without required human authorisation. AI system pursues proxy objective in ways that bypass safety constraints. Cascading AI-to-AI communication in automated clinical workflow leads to unintended device state.</w:t>
            </w:r>
          </w:p>
        </w:tc>
      </w:tr>
      <w:tr>
        <w:tc>
          <w:tcPr>
            <w:tcW w:type="dxa" w:w="32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Information Integrity / Disinformation
(§6.4.2)</w:t>
            </w:r>
          </w:p>
        </w:tc>
        <w:tc>
          <w:tcPr>
            <w:tcW w:type="dxa" w:w="61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AI-enabled device generates patient-facing content that is misleading or factually incorrect. AI-assisted clinical report contains misinformation that influences downstream clinical decisions.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Privacy Breach
(§6.7.2)</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Patient data entered into device AI system is retained and surfaced to other users via training data memorisation. PII inferred from device outputs by adversarial use. Device AI transmits sensitive data to external systems without authorisation.</w:t>
            </w:r>
          </w:p>
        </w:tc>
      </w:tr>
      <w:tr>
        <w:tc>
          <w:tcPr>
            <w:tcW w:type="dxa" w:w="32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Security Vulnerabilities
(§6.11.2 – §6.11.4)</w:t>
            </w:r>
          </w:p>
        </w:tc>
        <w:tc>
          <w:tcPr>
            <w:tcW w:type="dxa" w:w="61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Prompt injection attack causes AI-enabled device to generate dangerous instructions. Training data poisoning introduces systematic bias into AI diagnostic outputs. Model inversion attack recovers patient training data from device AI. Adversarial input causes AI component to fail in safety-critical manner.</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Harmful Bias / Disparate Performance
(§6.10.2)</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 diagnostic performance is systematically worse for specific patient subgroups (age, ethnicity, sex) due to training data underrepresentation. Biased AI triage tool allocates resources inequitably. AI model collapse following synthetic data over-reliance degrades performance across all groups.</w:t>
            </w:r>
          </w:p>
        </w:tc>
      </w:tr>
      <w:tr>
        <w:tc>
          <w:tcPr>
            <w:tcW w:type="dxa" w:w="32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Environmental and Infrastructure Risk
(§6.4.7, §6.5.2)</w:t>
            </w:r>
          </w:p>
        </w:tc>
        <w:tc>
          <w:tcPr>
            <w:tcW w:type="dxa" w:w="61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Device AI function unavailable due to cloud infrastructure failure with no fallback mode. AI computational resource demand causes device performance degradation during high-load conditions.</w:t>
            </w:r>
          </w:p>
        </w:tc>
      </w:tr>
    </w:tbl>
    <w:p>
      <w:pPr>
        <w:spacing w:after="80"/>
      </w:pPr>
      <w:r>
        <w:t xml:space="preserve"/>
      </w:r>
    </w:p>
    <w:p>
      <w:pPr>
        <w:pStyle w:val="Heading2"/>
        <w:spacing w:after="120" w:before="280"/>
      </w:pPr>
      <w:r>
        <w:rPr>
          <w:rFonts w:ascii="Arial" w:cs="Arial" w:eastAsia="Arial" w:hAnsi="Arial"/>
          <w:b/>
          <w:bCs/>
          <w:color w:val="0D7A77"/>
          <w:sz w:val="26"/>
          <w:szCs w:val="26"/>
        </w:rPr>
        <w:t xml:space="preserve">A3.4 Risk Control Measures for AI-Specific Hazards</w:t>
      </w:r>
    </w:p>
    <w:p>
      <w:pPr>
        <w:spacing w:after="120"/>
      </w:pPr>
      <w:r>
        <w:rPr>
          <w:rFonts w:ascii="Arial" w:cs="Arial" w:eastAsia="Arial" w:hAnsi="Arial"/>
          <w:b w:val="false"/>
          <w:bCs w:val="false"/>
          <w:color w:val="1A1A1A"/>
          <w:sz w:val="22"/>
          <w:szCs w:val="22"/>
        </w:rPr>
        <w:t xml:space="preserve">The following risk control measures shall be considered for AI-specific hazards, in accordance with the risk control hierarchy of ISO 14971:2019 §6.2 (inherent safety by design; protective measures; information for safety):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Risk Control Category</w:t>
            </w:r>
          </w:p>
        </w:tc>
        <w:tc>
          <w:tcPr>
            <w:tcW w:type="dxa" w:w="65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Specific Measures for AI Hazards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Inherent Safety by Design
(ISO 14971 §6.2, 1st priority)</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Design AI components with output confidence thresholds and uncertainty quantification. Implement architectural constraints that prevent AI from initiating safety-critical actions without human confirmation. Use Retrieval-Augmented Generation (RAG) grounded in verified clinical knowledge bases to reduce confabulation risk. Implement output filtering and guardrails to constrain AI outputs to clinically appropriate ranges. Design conservative failure modes (fail-safe defaults when AI output confidence is low). Avoid single-model architectures for safety-critical outputs — use ensemble or consensus approaches.</w:t>
            </w:r>
          </w:p>
        </w:tc>
      </w:tr>
      <w:tr>
        <w:tc>
          <w:tcPr>
            <w:tcW w:type="dxa" w:w="28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Protective Measures
(ISO 14971 §6.2, 2nd priority)</w:t>
            </w:r>
          </w:p>
        </w:tc>
        <w:tc>
          <w:tcPr>
            <w:tcW w:type="dxa" w:w="65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Mandatory human confirmation for all AI-generated outputs that influence a clinical decision or device action. Algorithmic output monitoring with automatic flagging of low-confidence or out-of-distribution outputs. Real-time performance monitoring with automatic escalation or fallback on anomaly detection. Audit logging of all AI inputs and outputs. Separation of AI advisory function from device actuation (AI recommends; qualified human acts). Post-market surveillance programme specifically designed to detect emerging AI performance drift and safety signals.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Information for Safety
(ISO 14971 §6.2, 3rd priority)</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Clear labelling of AI-generated content as AI-derived. Instructions for Use must include: description of AI component; limitations of AI (including confabulation risk); required user qualifications; verification steps required before acting on AI outputs; contraindications for AI-assisted use; description of fallback procedures when AI is unavailable. Training requirements for users of AI-enabled devices must include AI literacy and recognition of AI failure modes.</w:t>
            </w:r>
          </w:p>
        </w:tc>
      </w:tr>
      <w:tr>
        <w:tc>
          <w:tcPr>
            <w:tcW w:type="dxa" w:w="28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Risk/Benefit Evaluation
(ISO 14971 §8)</w:t>
            </w:r>
          </w:p>
        </w:tc>
        <w:tc>
          <w:tcPr>
            <w:tcW w:type="dxa" w:w="65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Residual risks from AI components must be evaluated in the context of the intended clinical benefit. The benefit-risk evaluation must be based on clinical evidence, not solely on AI system performance metrics. Where residual risk from AI hazards cannot be reduced further, the risk management report must document the benefit-risk justification and the basis for the conclusion that benefits outweigh residual risks.</w:t>
            </w:r>
          </w:p>
        </w:tc>
      </w:tr>
    </w:tbl>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A4. Alignment with IEC 62304:2006+A1:2015</w:t>
      </w:r>
    </w:p>
    <w:p>
      <w:pPr>
        <w:pStyle w:val="Heading2"/>
        <w:spacing w:after="120" w:before="280"/>
      </w:pPr>
      <w:r>
        <w:rPr>
          <w:rFonts w:ascii="Arial" w:cs="Arial" w:eastAsia="Arial" w:hAnsi="Arial"/>
          <w:b/>
          <w:bCs/>
          <w:color w:val="0D7A77"/>
          <w:sz w:val="26"/>
          <w:szCs w:val="26"/>
        </w:rPr>
        <w:t xml:space="preserve">A4.1 GenAI Use in Medical Device Software Development</w:t>
      </w:r>
    </w:p>
    <w:p>
      <w:pPr>
        <w:spacing w:after="120"/>
      </w:pPr>
      <w:r>
        <w:rPr>
          <w:rFonts w:ascii="Arial" w:cs="Arial" w:eastAsia="Arial" w:hAnsi="Arial"/>
          <w:b w:val="false"/>
          <w:bCs w:val="false"/>
          <w:color w:val="1A1A1A"/>
          <w:sz w:val="22"/>
          <w:szCs w:val="22"/>
        </w:rPr>
        <w:t xml:space="preserve">IEC 62304:2006+A1:2015 defines lifecycle requirements for medical device software. GenAI is increasingly used to assist software development (code generation, test case generation, documentation drafting). The following requirements apply:</w:t>
      </w:r>
    </w:p>
    <w:p>
      <w:pPr>
        <w:spacing w:after="80"/>
      </w:pPr>
      <w:r>
        <w:t xml:space="preserve"/>
      </w:r>
    </w:p>
    <w:p>
      <w:pPr>
        <w:pStyle w:val="ListParagraph"/>
        <w:numPr>
          <w:ilvl w:val="0"/>
          <w:numId w:val="2"/>
        </w:numPr>
      </w:pPr>
      <w:r>
        <w:rPr>
          <w:rFonts w:ascii="Arial" w:cs="Arial" w:eastAsia="Arial" w:hAnsi="Arial"/>
          <w:color w:val="1A1A1A"/>
          <w:sz w:val="22"/>
          <w:szCs w:val="22"/>
        </w:rPr>
        <w:t xml:space="preserve">AI-generated software code is subject to the same software development lifecycle controls as conventionally authored code. AI origin does not alter the safety classification of the software or reduce verification and validation obligations.</w:t>
      </w:r>
    </w:p>
    <w:p>
      <w:pPr>
        <w:pStyle w:val="ListParagraph"/>
        <w:numPr>
          <w:ilvl w:val="0"/>
          <w:numId w:val="2"/>
        </w:numPr>
      </w:pPr>
      <w:r>
        <w:rPr>
          <w:rFonts w:ascii="Arial" w:cs="Arial" w:eastAsia="Arial" w:hAnsi="Arial"/>
          <w:color w:val="1A1A1A"/>
          <w:sz w:val="22"/>
          <w:szCs w:val="22"/>
        </w:rPr>
        <w:t xml:space="preserve">Code generated by AI tools must be reviewed for correctness, security vulnerabilities, and compliance with coding standards by qualified software engineers before integration.</w:t>
      </w:r>
    </w:p>
    <w:p>
      <w:pPr>
        <w:pStyle w:val="ListParagraph"/>
        <w:numPr>
          <w:ilvl w:val="0"/>
          <w:numId w:val="2"/>
        </w:numPr>
      </w:pPr>
      <w:r>
        <w:rPr>
          <w:rFonts w:ascii="Arial" w:cs="Arial" w:eastAsia="Arial" w:hAnsi="Arial"/>
          <w:color w:val="1A1A1A"/>
          <w:sz w:val="22"/>
          <w:szCs w:val="22"/>
        </w:rPr>
        <w:t xml:space="preserve">Test cases generated by AI tools require review to confirm completeness and coverage against safety requirements. AI-generated tests may reflect training data biases and miss edge cases specific to the device use environment.</w:t>
      </w:r>
    </w:p>
    <w:p>
      <w:pPr>
        <w:pStyle w:val="ListParagraph"/>
        <w:numPr>
          <w:ilvl w:val="0"/>
          <w:numId w:val="2"/>
        </w:numPr>
      </w:pPr>
      <w:r>
        <w:rPr>
          <w:rFonts w:ascii="Arial" w:cs="Arial" w:eastAsia="Arial" w:hAnsi="Arial"/>
          <w:color w:val="1A1A1A"/>
          <w:sz w:val="22"/>
          <w:szCs w:val="22"/>
        </w:rPr>
        <w:t xml:space="preserve">The Software Development Plan (IEC 62304 §5.1) shall identify AI tools used in software development, their version, and the controls applied to AI-generated artifacts.</w:t>
      </w:r>
    </w:p>
    <w:p>
      <w:pPr>
        <w:pStyle w:val="ListParagraph"/>
        <w:numPr>
          <w:ilvl w:val="0"/>
          <w:numId w:val="2"/>
        </w:numPr>
      </w:pPr>
      <w:r>
        <w:rPr>
          <w:rFonts w:ascii="Arial" w:cs="Arial" w:eastAsia="Arial" w:hAnsi="Arial"/>
          <w:color w:val="1A1A1A"/>
          <w:sz w:val="22"/>
          <w:szCs w:val="22"/>
        </w:rPr>
        <w:t xml:space="preserve">AI-generated software artifacts (code, test cases, documentation) must be subject to configuration management and must be identifiable in the Software Configuration Item list.</w:t>
      </w:r>
    </w:p>
    <w:p>
      <w:pPr>
        <w:pStyle w:val="ListParagraph"/>
        <w:numPr>
          <w:ilvl w:val="0"/>
          <w:numId w:val="2"/>
        </w:numPr>
      </w:pPr>
      <w:r>
        <w:rPr>
          <w:rFonts w:ascii="Arial" w:cs="Arial" w:eastAsia="Arial" w:hAnsi="Arial"/>
          <w:color w:val="1A1A1A"/>
          <w:sz w:val="22"/>
          <w:szCs w:val="22"/>
        </w:rPr>
        <w:t xml:space="preserve">Problem resolution records (IEC 62304 §9) shall capture defects introduced via AI-generated code or AI-generated test artifacts.</w:t>
      </w:r>
    </w:p>
    <w:p>
      <w:pPr>
        <w:spacing w:after="80"/>
      </w:pPr>
      <w:r>
        <w:t xml:space="preserve"/>
      </w:r>
    </w:p>
    <w:p>
      <w:pPr>
        <w:pBdr>
          <w:left w:val="single" w:color="0D7A77" w:sz="12" w:space="6"/>
        </w:pBdr>
        <w:shd w:fill="E8F4F4" w:val="clear"/>
        <w:spacing w:after="120" w:before="120"/>
        <w:ind w:left="360" w:right="360"/>
      </w:pPr>
      <w:r>
        <w:rPr>
          <w:rFonts w:ascii="Arial" w:cs="Arial" w:eastAsia="Arial" w:hAnsi="Arial"/>
          <w:b/>
          <w:bCs/>
          <w:color w:val="0D7A77"/>
          <w:sz w:val="22"/>
          <w:szCs w:val="22"/>
        </w:rPr>
        <w:t xml:space="preserve">SOUP Consideration: </w:t>
      </w:r>
      <w:r>
        <w:rPr>
          <w:rFonts w:ascii="Arial" w:cs="Arial" w:eastAsia="Arial" w:hAnsi="Arial"/>
          <w:color w:val="1A1A1A"/>
          <w:sz w:val="22"/>
          <w:szCs w:val="22"/>
        </w:rPr>
        <w:t xml:space="preserve">A pre-trained AI model or GenAI API integrated into a medical device as a functional component may qualify as Software of Unknown Provenance (SOUP) under IEC 62304. SOUP identification, risk analysis, and the handling of SOUP anomalies must be documented. Foundation model updates from a cloud AI vendor constitute a SOUP change and must be managed through the software change control process.</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A5. Intersection with EU AI Act (Regulation 2024/1689)</w:t>
      </w:r>
    </w:p>
    <w:p>
      <w:pPr>
        <w:spacing w:after="120"/>
      </w:pPr>
      <w:r>
        <w:rPr>
          <w:rFonts w:ascii="Arial" w:cs="Arial" w:eastAsia="Arial" w:hAnsi="Arial"/>
          <w:b w:val="false"/>
          <w:bCs w:val="false"/>
          <w:color w:val="1A1A1A"/>
          <w:sz w:val="22"/>
          <w:szCs w:val="22"/>
        </w:rPr>
        <w:t xml:space="preserve">The EU AI Act introduces a risk-based regulatory framework for AI systems placed on the EU market. Life science organisations must assess their obligations under the Act for both AI systems they deploy internally and AI-enabled medical devices they place on the market.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EU AI Act Category</w:t>
            </w:r>
          </w:p>
        </w:tc>
        <w:tc>
          <w:tcPr>
            <w:tcW w:type="dxa" w:w="65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Life Science / Medical Device Implications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Prohibited AI Practices
(Article 5)</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 systems that manipulate persons through subliminal techniques, exploit vulnerabilities, or use unacceptable social scoring are prohibited. Review any patient-facing AI for compliance. AI-generated clinical communications must not exploit patient vulnerability or cognitive limitations.</w:t>
            </w:r>
          </w:p>
        </w:tc>
      </w:tr>
      <w:tr>
        <w:tc>
          <w:tcPr>
            <w:tcW w:type="dxa" w:w="28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High-Risk AI Systems
(Article 6, Annex III)</w:t>
            </w:r>
          </w:p>
        </w:tc>
        <w:tc>
          <w:tcPr>
            <w:tcW w:type="dxa" w:w="65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 systems used as safety components of medical devices, or themselves constituting medical devices, are classified as high-risk under Annex III, Category IIIa. High-risk AI systems are subject to: conformity assessment; CE marking (coordinated with MDR/IVDR); technical documentation; post-market monitoring; human oversight measures; robustness, accuracy, and cybersecurity requirements.
Note: For AI systems already subject to EU MDR/IVDR, conformity assessment procedures under those Regulations satisfy EU AI Act requirements where equivalent. Coordinate MDR/IVDR technical file with AI Act technical documentation.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General Purpose AI Models (GPAI)
(Articles 51–56)</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Foundation models used within the organisation (e.g. via API) that are classified as GPAI models may carry obligations for the provider. As a deployer, the organisation must comply with usage restrictions and transparency requirements imposed by the GPAI provider. Obligations escalate for GPAI models with systemic risk (≥10²³ FLOPs training compute threshold).</w:t>
            </w:r>
          </w:p>
        </w:tc>
      </w:tr>
      <w:tr>
        <w:tc>
          <w:tcPr>
            <w:tcW w:type="dxa" w:w="28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Transparency Obligations
(Article 50)</w:t>
            </w:r>
          </w:p>
        </w:tc>
        <w:tc>
          <w:tcPr>
            <w:tcW w:type="dxa" w:w="65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AI systems that interact with natural persons (e.g. AI chatbots used in patient support or HCP communication) must disclose that the person is interacting with an AI system unless it is obvious from context. AI-generated content that could be mistaken for human-authored content requires appropriate labelling.</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Post-Market Monitoring
(Article 72)</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Providers of high-risk AI medical devices must implement post-market monitoring systems consistent with Article 72. This may be integrated with MDR/IVDR post-market surveillance requirements. Serious incidents involving high-risk AI must be reported to national supervisory authorities within defined timeframes.</w:t>
            </w:r>
          </w:p>
        </w:tc>
      </w:tr>
    </w:tbl>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A6. AI Risk Assessment Template — Medical Device Context</w:t>
      </w:r>
    </w:p>
    <w:p>
      <w:pPr>
        <w:spacing w:after="120"/>
      </w:pPr>
      <w:r>
        <w:rPr>
          <w:rFonts w:ascii="Arial" w:cs="Arial" w:eastAsia="Arial" w:hAnsi="Arial"/>
          <w:b w:val="false"/>
          <w:bCs w:val="false"/>
          <w:color w:val="1A1A1A"/>
          <w:sz w:val="22"/>
          <w:szCs w:val="22"/>
        </w:rPr>
        <w:t xml:space="preserve">The following template shall be used for GenAI risk assessments in the medical device context, integrating ISO 14971:2019 risk management principles with ISO/IEC CD TS 25568 risk categories. Complete a separate assessment for each AI use case at risk tier High or Critical.</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USE CASE IDENTIFICATION</w:t>
            </w:r>
          </w:p>
        </w:tc>
        <w:tc>
          <w:tcPr>
            <w:tcW w:type="dxa" w:w="63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Use Case Reference (AI Use Register ID):</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  ]</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AI System / Tool:</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  ]</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Version / Model:</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  ]</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Business Function:</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  ]</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Risk Tier (per ORG-AI-POL-001 §6.2):</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 Critical (Red)    ☐ High (Amber)    ☐ Medium (Yellow)</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Date of Assessment:</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  ]</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Assessor Name and Role:</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  ]</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
            </w:r>
          </w:p>
        </w:tc>
      </w:tr>
      <w:tr>
        <w:tc>
          <w:tcPr>
            <w:tcW w:type="dxa" w:w="30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ISO 14971 INTEGRATION</w:t>
            </w:r>
          </w:p>
        </w:tc>
        <w:tc>
          <w:tcPr>
            <w:tcW w:type="dxa" w:w="63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Intended Use of AI in this context:</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[Describe how AI is used and what outputs are generated]</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Reasonably Foreseeable Misuse:</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[Describe potential misuse scenarios relevant to this use case]</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Patient Safety Relevance:</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 Direct (AI output could directly affect patient)   ☐ Indirect   ☐ None</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Product Quality Relevance:</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 Direct (AI output used in device or regulated process)   ☐ Indirect   ☐ None</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
            </w:r>
          </w:p>
        </w:tc>
      </w:tr>
      <w:tr>
        <w:tc>
          <w:tcPr>
            <w:tcW w:type="dxa" w:w="30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ISO/IEC CD TS 25568 RISK ANALYSIS</w:t>
            </w:r>
          </w:p>
        </w:tc>
        <w:tc>
          <w:tcPr>
            <w:tcW w:type="dxa" w:w="63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Confabulation / Veracity Risk (§6.6):</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[Describe risk of hallucinated output in this context and potential consequences]</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Automation Bias Risk (§6.3.2):</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[Describe risk of over-reliance by users in this context]</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Privacy / Data Risk (§6.7):</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[Identify data types processed; describe privacy risk]</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Security Risk (§6.11):</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[Describe prompt injection, data poisoning, or other security risks]</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Fairness / Bias Risk (§6.10):</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[Describe risk of biased outputs in this context]</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
            </w:r>
          </w:p>
        </w:tc>
      </w:tr>
      <w:tr>
        <w:tc>
          <w:tcPr>
            <w:tcW w:type="dxa" w:w="30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RISK CONTROLS</w:t>
            </w:r>
          </w:p>
        </w:tc>
        <w:tc>
          <w:tcPr>
            <w:tcW w:type="dxa" w:w="63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Human Oversight Measure:</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[Describe who reviews AI output, what they verify, and how sign-off is recorded]</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Technical Controls:</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[List technical controls: output filtering, RAG grounding, confidence thresholds, logging]</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Process Controls:</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[List procedural controls: verification steps, prohibited data types, audit trail requirements]</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Residual Risk Assessment:</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 Acceptable without further reduction   ☐ Acceptable — benefits outweigh residual risk   ☐ Not acceptable — further action required</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Risk-Benefit Statement (if required):</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[Document benefit-risk justification if residual risk cannot be further reduced]</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
            </w:r>
          </w:p>
        </w:tc>
      </w:tr>
      <w:tr>
        <w:tc>
          <w:tcPr>
            <w:tcW w:type="dxa" w:w="30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APPROVAL</w:t>
            </w:r>
          </w:p>
        </w:tc>
        <w:tc>
          <w:tcPr>
            <w:tcW w:type="dxa" w:w="63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Reviewed by (QA / RA):</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[Name, Signature, Date]</w:t>
            </w:r>
          </w:p>
        </w:tc>
      </w:tr>
      <w:tr>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B3A6B"/>
                <w:sz w:val="20"/>
                <w:szCs w:val="20"/>
              </w:rPr>
              <w:t xml:space="preserve">Approved by (Senior Management):</w:t>
            </w:r>
          </w:p>
        </w:tc>
        <w:tc>
          <w:tcPr>
            <w:tcW w:type="dxa" w:w="63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val="false"/>
                <w:bCs w:val="false"/>
                <w:color w:val="1A1A1A"/>
                <w:sz w:val="20"/>
                <w:szCs w:val="20"/>
              </w:rPr>
              <w:t xml:space="preserve">[Name, Signature, Date — required for Critical/High tier]</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B3A6B"/>
                <w:sz w:val="20"/>
                <w:szCs w:val="20"/>
              </w:rPr>
              <w:t xml:space="preserve">Next Review Date:</w:t>
            </w:r>
          </w:p>
        </w:tc>
        <w:tc>
          <w:tcPr>
            <w:tcW w:type="dxa" w:w="6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  ]</w:t>
            </w:r>
          </w:p>
        </w:tc>
      </w:tr>
    </w:tbl>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A7. Supporting Standards and References</w:t>
      </w:r>
    </w:p>
    <w:p>
      <w:pPr>
        <w:pStyle w:val="ListParagraph"/>
        <w:numPr>
          <w:ilvl w:val="0"/>
          <w:numId w:val="2"/>
        </w:numPr>
      </w:pPr>
      <w:r>
        <w:rPr>
          <w:rFonts w:ascii="Arial" w:cs="Arial" w:eastAsia="Arial" w:hAnsi="Arial"/>
          <w:color w:val="1A1A1A"/>
          <w:sz w:val="22"/>
          <w:szCs w:val="22"/>
        </w:rPr>
        <w:t xml:space="preserve">ISO 13485:2016 — Medical devices — Quality management systems — Requirements for regulatory purposes</w:t>
      </w:r>
    </w:p>
    <w:p>
      <w:pPr>
        <w:pStyle w:val="ListParagraph"/>
        <w:numPr>
          <w:ilvl w:val="0"/>
          <w:numId w:val="2"/>
        </w:numPr>
      </w:pPr>
      <w:r>
        <w:rPr>
          <w:rFonts w:ascii="Arial" w:cs="Arial" w:eastAsia="Arial" w:hAnsi="Arial"/>
          <w:color w:val="1A1A1A"/>
          <w:sz w:val="22"/>
          <w:szCs w:val="22"/>
        </w:rPr>
        <w:t xml:space="preserve">ISO 14971:2019 — Medical devices — Application of risk management to medical devices</w:t>
      </w:r>
    </w:p>
    <w:p>
      <w:pPr>
        <w:pStyle w:val="ListParagraph"/>
        <w:numPr>
          <w:ilvl w:val="0"/>
          <w:numId w:val="2"/>
        </w:numPr>
      </w:pPr>
      <w:r>
        <w:rPr>
          <w:rFonts w:ascii="Arial" w:cs="Arial" w:eastAsia="Arial" w:hAnsi="Arial"/>
          <w:color w:val="1A1A1A"/>
          <w:sz w:val="22"/>
          <w:szCs w:val="22"/>
        </w:rPr>
        <w:t xml:space="preserve">IEC 62304:2006+A1:2015 — Medical device software — Software life cycle processes</w:t>
      </w:r>
    </w:p>
    <w:p>
      <w:pPr>
        <w:pStyle w:val="ListParagraph"/>
        <w:numPr>
          <w:ilvl w:val="0"/>
          <w:numId w:val="2"/>
        </w:numPr>
      </w:pPr>
      <w:r>
        <w:rPr>
          <w:rFonts w:ascii="Arial" w:cs="Arial" w:eastAsia="Arial" w:hAnsi="Arial"/>
          <w:color w:val="1A1A1A"/>
          <w:sz w:val="22"/>
          <w:szCs w:val="22"/>
        </w:rPr>
        <w:t xml:space="preserve">IEC 62366-1:2015+A1:2020 — Medical devices — Usability engineering</w:t>
      </w:r>
    </w:p>
    <w:p>
      <w:pPr>
        <w:pStyle w:val="ListParagraph"/>
        <w:numPr>
          <w:ilvl w:val="0"/>
          <w:numId w:val="2"/>
        </w:numPr>
      </w:pPr>
      <w:r>
        <w:rPr>
          <w:rFonts w:ascii="Arial" w:cs="Arial" w:eastAsia="Arial" w:hAnsi="Arial"/>
          <w:color w:val="1A1A1A"/>
          <w:sz w:val="22"/>
          <w:szCs w:val="22"/>
        </w:rPr>
        <w:t xml:space="preserve">ISO/IEC CD TS 25568 — Guidance on Generative AI Risks (primary basis for ORG-AI-POL-001)</w:t>
      </w:r>
    </w:p>
    <w:p>
      <w:pPr>
        <w:pStyle w:val="ListParagraph"/>
        <w:numPr>
          <w:ilvl w:val="0"/>
          <w:numId w:val="2"/>
        </w:numPr>
      </w:pPr>
      <w:r>
        <w:rPr>
          <w:rFonts w:ascii="Arial" w:cs="Arial" w:eastAsia="Arial" w:hAnsi="Arial"/>
          <w:color w:val="1A1A1A"/>
          <w:sz w:val="22"/>
          <w:szCs w:val="22"/>
        </w:rPr>
        <w:t xml:space="preserve">ISO/IEC 42001:2023 — AI Management System</w:t>
      </w:r>
    </w:p>
    <w:p>
      <w:pPr>
        <w:pStyle w:val="ListParagraph"/>
        <w:numPr>
          <w:ilvl w:val="0"/>
          <w:numId w:val="2"/>
        </w:numPr>
      </w:pPr>
      <w:r>
        <w:rPr>
          <w:rFonts w:ascii="Arial" w:cs="Arial" w:eastAsia="Arial" w:hAnsi="Arial"/>
          <w:color w:val="1A1A1A"/>
          <w:sz w:val="22"/>
          <w:szCs w:val="22"/>
        </w:rPr>
        <w:t xml:space="preserve">ISO/IEC 23894:2023 — AI Risk Management Guidance</w:t>
      </w:r>
    </w:p>
    <w:p>
      <w:pPr>
        <w:pStyle w:val="ListParagraph"/>
        <w:numPr>
          <w:ilvl w:val="0"/>
          <w:numId w:val="2"/>
        </w:numPr>
      </w:pPr>
      <w:r>
        <w:rPr>
          <w:rFonts w:ascii="Arial" w:cs="Arial" w:eastAsia="Arial" w:hAnsi="Arial"/>
          <w:color w:val="1A1A1A"/>
          <w:sz w:val="22"/>
          <w:szCs w:val="22"/>
        </w:rPr>
        <w:t xml:space="preserve">ISO 31000:2018 — Risk Management Guidelines</w:t>
      </w:r>
    </w:p>
    <w:p>
      <w:pPr>
        <w:pStyle w:val="ListParagraph"/>
        <w:numPr>
          <w:ilvl w:val="0"/>
          <w:numId w:val="2"/>
        </w:numPr>
      </w:pPr>
      <w:r>
        <w:rPr>
          <w:rFonts w:ascii="Arial" w:cs="Arial" w:eastAsia="Arial" w:hAnsi="Arial"/>
          <w:color w:val="1A1A1A"/>
          <w:sz w:val="22"/>
          <w:szCs w:val="22"/>
        </w:rPr>
        <w:t xml:space="preserve">EU AI Act — Regulation 2024/1689 of the European Parliament and of the Council</w:t>
      </w:r>
    </w:p>
    <w:p>
      <w:pPr>
        <w:pStyle w:val="ListParagraph"/>
        <w:numPr>
          <w:ilvl w:val="0"/>
          <w:numId w:val="2"/>
        </w:numPr>
      </w:pPr>
      <w:r>
        <w:rPr>
          <w:rFonts w:ascii="Arial" w:cs="Arial" w:eastAsia="Arial" w:hAnsi="Arial"/>
          <w:color w:val="1A1A1A"/>
          <w:sz w:val="22"/>
          <w:szCs w:val="22"/>
        </w:rPr>
        <w:t xml:space="preserve">EU MDR — Regulation 2017/745 on medical devices</w:t>
      </w:r>
    </w:p>
    <w:p>
      <w:pPr>
        <w:pStyle w:val="ListParagraph"/>
        <w:numPr>
          <w:ilvl w:val="0"/>
          <w:numId w:val="2"/>
        </w:numPr>
      </w:pPr>
      <w:r>
        <w:rPr>
          <w:rFonts w:ascii="Arial" w:cs="Arial" w:eastAsia="Arial" w:hAnsi="Arial"/>
          <w:color w:val="1A1A1A"/>
          <w:sz w:val="22"/>
          <w:szCs w:val="22"/>
        </w:rPr>
        <w:t xml:space="preserve">EU IVDR — Regulation 2017/746 on in vitro diagnostic medical devices</w:t>
      </w:r>
    </w:p>
    <w:p>
      <w:pPr>
        <w:pStyle w:val="ListParagraph"/>
        <w:numPr>
          <w:ilvl w:val="0"/>
          <w:numId w:val="2"/>
        </w:numPr>
      </w:pPr>
      <w:r>
        <w:rPr>
          <w:rFonts w:ascii="Arial" w:cs="Arial" w:eastAsia="Arial" w:hAnsi="Arial"/>
          <w:color w:val="1A1A1A"/>
          <w:sz w:val="22"/>
          <w:szCs w:val="22"/>
        </w:rPr>
        <w:t xml:space="preserve">IMDRF/AIML WG/N67 — Predetermined Change Control Plan for AI/ML-based Software as a Medical Device</w:t>
      </w:r>
    </w:p>
    <w:p>
      <w:pPr>
        <w:pStyle w:val="ListParagraph"/>
        <w:numPr>
          <w:ilvl w:val="0"/>
          <w:numId w:val="2"/>
        </w:numPr>
      </w:pPr>
      <w:r>
        <w:rPr>
          <w:rFonts w:ascii="Arial" w:cs="Arial" w:eastAsia="Arial" w:hAnsi="Arial"/>
          <w:color w:val="1A1A1A"/>
          <w:sz w:val="22"/>
          <w:szCs w:val="22"/>
        </w:rPr>
        <w:t xml:space="preserve">MDCG 2019-16 — Guidance on cybersecurity for medical devices (in context of AI security controls)</w:t>
      </w:r>
    </w:p>
    <w:p>
      <w:pPr>
        <w:pStyle w:val="ListParagraph"/>
        <w:numPr>
          <w:ilvl w:val="0"/>
          <w:numId w:val="2"/>
        </w:numPr>
      </w:pPr>
      <w:r>
        <w:rPr>
          <w:rFonts w:ascii="Arial" w:cs="Arial" w:eastAsia="Arial" w:hAnsi="Arial"/>
          <w:color w:val="1A1A1A"/>
          <w:sz w:val="22"/>
          <w:szCs w:val="22"/>
        </w:rPr>
        <w:t xml:space="preserve">NIST AI 600-1 — Generative Artificial Intelligence Profile</w:t>
      </w:r>
    </w:p>
    <w:p>
      <w:pPr>
        <w:pStyle w:val="ListParagraph"/>
        <w:numPr>
          <w:ilvl w:val="0"/>
          <w:numId w:val="2"/>
        </w:numPr>
      </w:pPr>
      <w:r>
        <w:rPr>
          <w:rFonts w:ascii="Arial" w:cs="Arial" w:eastAsia="Arial" w:hAnsi="Arial"/>
          <w:color w:val="1A1A1A"/>
          <w:sz w:val="22"/>
          <w:szCs w:val="22"/>
        </w:rPr>
        <w:t xml:space="preserve">FDA Artificial Intelligence Action Plan (current version)</w:t>
      </w:r>
    </w:p>
    <w:p>
      <w:pPr>
        <w:spacing w:after="80"/>
      </w:pPr>
      <w:r>
        <w:t xml:space="preserve"/>
      </w:r>
    </w:p>
    <w:p>
      <w:pPr>
        <w:spacing w:after="120"/>
      </w:pPr>
      <w:r>
        <w:rPr>
          <w:rFonts w:ascii="Arial" w:cs="Arial" w:eastAsia="Arial" w:hAnsi="Arial"/>
          <w:b/>
          <w:bCs/>
          <w:color w:val="1B3A6B"/>
          <w:sz w:val="22"/>
          <w:szCs w:val="22"/>
        </w:rPr>
        <w:t xml:space="preserve">END OF ANNEX</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D7A77" w:sz="4" w:space="4"/>
      </w:pBdr>
      <w:tabs>
        <w:tab w:val="center" w:pos="4680"/>
        <w:tab w:val="right" w:pos="9360"/>
      </w:tabs>
    </w:pPr>
    <w:r>
      <w:rPr>
        <w:rFonts w:ascii="Arial" w:cs="Arial" w:eastAsia="Arial" w:hAnsi="Arial"/>
        <w:color w:val="888888"/>
        <w:sz w:val="16"/>
        <w:szCs w:val="16"/>
      </w:rPr>
      <w:t xml:space="preserve">CONTROLLED DOCUMENT</w:t>
    </w:r>
    <w:r>
      <w:rPr>
        <w:rFonts w:ascii="Arial" w:cs="Arial" w:eastAsia="Arial" w:hAnsi="Arial"/>
        <w:sz w:val="16"/>
        <w:szCs w:val="16"/>
      </w:rPr>
      <w:t xml:space="preserve">	</w:t>
    </w:r>
    <w:r>
      <w:rPr>
        <w:rFonts w:ascii="Arial" w:cs="Arial" w:eastAsia="Arial" w:hAnsi="Arial"/>
        <w:color w:val="888888"/>
        <w:sz w:val="16"/>
        <w:szCs w:val="16"/>
      </w:rPr>
      <w:t xml:space="preserve">GenAI Annex — ISO 13485 &amp; ISO 14971 Alignment  |  ORG-AI-ANN-001</w:t>
    </w:r>
    <w:r>
      <w:rPr>
        <w:rFonts w:ascii="Arial" w:cs="Arial" w:eastAsia="Arial" w:hAnsi="Arial"/>
        <w:color w:val="888888"/>
        <w:sz w:val="16"/>
        <w:szCs w:val="16"/>
      </w:rPr>
      <w:t xml:space="preserve">	Page </w:t>
    </w:r>
    <w:fldSimple w:instr="PAGE">
      <w:r>
        <w:rPr>
          <w:rFonts w:ascii="Arial" w:cs="Arial" w:eastAsia="Arial" w:hAnsi="Arial"/>
          <w:color w:val="888888"/>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80"/>
        <w:ind w:left="720" w:hanging="360"/>
      </w:pPr>
    </w:lvl>
    <w:lvl w:ilvl="1" w15:tentative="1">
      <w:start w:val="1"/>
      <w:numFmt w:val="bullet"/>
      <w:lvlText w:val="◦"/>
      <w:lvlJc w:val="left"/>
      <w:pPr>
        <w:spacing w:after="60"/>
        <w:ind w:left="1080" w:hanging="360"/>
      </w:pPr>
    </w:lvl>
  </w:abstractNum>
  <w:abstractNum w:abstractNumId="3" w15:restartNumberingAfterBreak="0">
    <w:multiLevelType w:val="hybridMultilevel"/>
    <w:lvl w:ilvl="0" w15:tentative="1">
      <w:start w:val="1"/>
      <w:numFmt w:val="decimal"/>
      <w:lvlText w:val="%1."/>
      <w:lvlJc w:val="left"/>
      <w:pPr>
        <w:spacing w:after="8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B3A6B"/>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0D7A77"/>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B3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2026-05-13T09:14:47.325Z</dcterms:created>
  <dcterms:modified xsi:type="dcterms:W3CDTF">2026-05-13T09:14:47.326Z</dcterms:modified>
</cp:coreProperties>
</file>

<file path=docProps/custom.xml><?xml version="1.0" encoding="utf-8"?>
<Properties xmlns="http://schemas.openxmlformats.org/officeDocument/2006/custom-properties" xmlns:vt="http://schemas.openxmlformats.org/officeDocument/2006/docPropsVTypes"/>
</file>