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3A6B" w:val="clear"/>
        <w:spacing w:after="0" w:before="0"/>
      </w:pPr>
      <w:r>
        <w:rPr>
          <w:rFonts w:ascii="Arial" w:cs="Arial" w:eastAsia="Arial" w:hAnsi="Arial"/>
          <w:sz w:val="4"/>
          <w:szCs w:val="4"/>
        </w:rPr>
        <w:t xml:space="preserve"> </w:t>
      </w:r>
    </w:p>
    <w:p>
      <w:pPr>
        <w:spacing w:after="80"/>
      </w:pPr>
      <w:r>
        <w:t xml:space="preserve"/>
      </w:r>
    </w:p>
    <w:p>
      <w:pPr>
        <w:spacing w:after="80"/>
      </w:pPr>
      <w:r>
        <w:t xml:space="preserve"/>
      </w:r>
    </w:p>
    <w:p>
      <w:pPr>
        <w:spacing w:after="80"/>
      </w:pPr>
      <w:r>
        <w:t xml:space="preserve"/>
      </w:r>
    </w:p>
    <w:p>
      <w:pPr>
        <w:spacing w:after="80"/>
      </w:pPr>
      <w:r>
        <w:t xml:space="preserve"/>
      </w:r>
    </w:p>
    <w:p>
      <w:pPr>
        <w:spacing w:after="120"/>
        <w:jc w:val="center"/>
      </w:pPr>
      <w:r>
        <w:rPr>
          <w:rFonts w:ascii="Arial" w:cs="Arial" w:eastAsia="Arial" w:hAnsi="Arial"/>
          <w:b/>
          <w:bCs/>
          <w:caps/>
          <w:color w:val="0D7A77"/>
          <w:sz w:val="24"/>
          <w:szCs w:val="24"/>
        </w:rPr>
        <w:t xml:space="preserve">LIFE SCIENCE ORGANISATION</w:t>
      </w:r>
    </w:p>
    <w:p>
      <w:pPr>
        <w:spacing w:after="120"/>
        <w:jc w:val="center"/>
      </w:pPr>
      <w:r>
        <w:rPr>
          <w:rFonts w:ascii="Arial" w:cs="Arial" w:eastAsia="Arial" w:hAnsi="Arial"/>
          <w:b/>
          <w:bCs/>
          <w:color w:val="1B3A6B"/>
          <w:sz w:val="40"/>
          <w:szCs w:val="40"/>
        </w:rPr>
        <w:t xml:space="preserve">Policy and Guidance Procedure</w:t>
      </w:r>
    </w:p>
    <w:p>
      <w:pPr>
        <w:spacing w:after="240"/>
        <w:jc w:val="center"/>
      </w:pPr>
      <w:r>
        <w:rPr>
          <w:rFonts w:ascii="Arial" w:cs="Arial" w:eastAsia="Arial" w:hAnsi="Arial"/>
          <w:b w:val="false"/>
          <w:bCs w:val="false"/>
          <w:color w:val="1B3A6B"/>
          <w:sz w:val="32"/>
          <w:szCs w:val="32"/>
        </w:rPr>
        <w:t xml:space="preserve">Responsible Use of Generative Artificial Intelligence</w:t>
      </w:r>
    </w:p>
    <w:p>
      <w:pPr>
        <w:pBdr>
          <w:top w:val="single" w:color="0D7A77" w:sz="4" w:space="6"/>
          <w:bottom w:val="single" w:color="0D7A77" w:sz="4" w:space="6"/>
        </w:pBdr>
        <w:spacing w:after="160" w:before="160"/>
        <w:jc w:val="center"/>
      </w:pPr>
      <w:r>
        <w:rPr>
          <w:rFonts w:ascii="Arial" w:cs="Arial" w:eastAsia="Arial" w:hAnsi="Arial"/>
          <w:i/>
          <w:iCs/>
          <w:color w:val="0D7A77"/>
          <w:sz w:val="20"/>
          <w:szCs w:val="20"/>
        </w:rPr>
        <w:t xml:space="preserve">Based on ISO/IEC CD TS 25568  |  Guidance on Generative AI Risks</w:t>
      </w:r>
    </w:p>
    <w:p>
      <w:pPr>
        <w:spacing w:after="80"/>
      </w:pPr>
      <w:r>
        <w:t xml:space="preserve"/>
      </w:r>
    </w:p>
    <w:p>
      <w:pPr>
        <w:spacing w:after="80"/>
      </w:pPr>
      <w:r>
        <w:t xml:space="preserve"/>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2400"/>
        <w:gridCol w:w="4800"/>
      </w:tblGrid>
      <w:tr>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bCs/>
                <w:color w:val="1B3A6B"/>
                <w:sz w:val="20"/>
                <w:szCs w:val="20"/>
              </w:rPr>
              <w:t xml:space="preserve">Document Reference:</w:t>
            </w:r>
          </w:p>
        </w:tc>
        <w:tc>
          <w:tcPr>
            <w:tcW w:type="dxa" w:w="4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1A1A1A"/>
                <w:sz w:val="20"/>
                <w:szCs w:val="20"/>
              </w:rPr>
              <w:t xml:space="preserve">[ORG-AI-POL-001]</w:t>
            </w:r>
          </w:p>
        </w:tc>
      </w:tr>
      <w:tr>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bCs/>
                <w:color w:val="1B3A6B"/>
                <w:sz w:val="20"/>
                <w:szCs w:val="20"/>
              </w:rPr>
              <w:t xml:space="preserve">Version:</w:t>
            </w:r>
          </w:p>
        </w:tc>
        <w:tc>
          <w:tcPr>
            <w:tcW w:type="dxa" w:w="4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1A1A1A"/>
                <w:sz w:val="20"/>
                <w:szCs w:val="20"/>
              </w:rPr>
              <w:t xml:space="preserve">1.0</w:t>
            </w:r>
          </w:p>
        </w:tc>
      </w:tr>
      <w:tr>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bCs/>
                <w:color w:val="1B3A6B"/>
                <w:sz w:val="20"/>
                <w:szCs w:val="20"/>
              </w:rPr>
              <w:t xml:space="preserve">Status:</w:t>
            </w:r>
          </w:p>
        </w:tc>
        <w:tc>
          <w:tcPr>
            <w:tcW w:type="dxa" w:w="4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1A1A1A"/>
                <w:sz w:val="20"/>
                <w:szCs w:val="20"/>
              </w:rPr>
              <w:t xml:space="preserve">For Approval</w:t>
            </w:r>
          </w:p>
        </w:tc>
      </w:tr>
      <w:tr>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bCs/>
                <w:color w:val="1B3A6B"/>
                <w:sz w:val="20"/>
                <w:szCs w:val="20"/>
              </w:rPr>
              <w:t xml:space="preserve">Applicable Standards:</w:t>
            </w:r>
          </w:p>
        </w:tc>
        <w:tc>
          <w:tcPr>
            <w:tcW w:type="dxa" w:w="4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1A1A1A"/>
                <w:sz w:val="20"/>
                <w:szCs w:val="20"/>
              </w:rPr>
              <w:t xml:space="preserve">ISO/IEC CD TS 25568, ISO/IEC 42001:2023, ISO/IEC 23894, EU AI Act 2024/1689</w:t>
            </w:r>
          </w:p>
        </w:tc>
      </w:tr>
      <w:tr>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bCs/>
                <w:color w:val="1B3A6B"/>
                <w:sz w:val="20"/>
                <w:szCs w:val="20"/>
              </w:rPr>
              <w:t xml:space="preserve">Review Cycle:</w:t>
            </w:r>
          </w:p>
        </w:tc>
        <w:tc>
          <w:tcPr>
            <w:tcW w:type="dxa" w:w="4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1A1A1A"/>
                <w:sz w:val="20"/>
                <w:szCs w:val="20"/>
              </w:rPr>
              <w:t xml:space="preserve">Annual</w:t>
            </w:r>
          </w:p>
        </w:tc>
      </w:tr>
      <w:tr>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b/>
                <w:bCs/>
                <w:color w:val="1B3A6B"/>
                <w:sz w:val="20"/>
                <w:szCs w:val="20"/>
              </w:rPr>
              <w:t xml:space="preserve">Document Owner:</w:t>
            </w:r>
          </w:p>
        </w:tc>
        <w:tc>
          <w:tcPr>
            <w:tcW w:type="dxa" w:w="4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1A1A1A"/>
                <w:sz w:val="20"/>
                <w:szCs w:val="20"/>
              </w:rPr>
              <w:t xml:space="preserve">[Quality / Regulatory Affairs]</w:t>
            </w:r>
          </w:p>
        </w:tc>
      </w:tr>
    </w:tbl>
    <w:p>
      <w:pPr>
        <w:spacing w:after="80"/>
      </w:pPr>
      <w:r>
        <w:t xml:space="preserve"/>
      </w:r>
    </w:p>
    <w:p>
      <w:pPr>
        <w:spacing w:after="80"/>
      </w:pPr>
      <w:r>
        <w:t xml:space="preserve"/>
      </w:r>
    </w:p>
    <w:p>
      <w:pPr>
        <w:spacing w:after="80"/>
      </w:pPr>
      <w:r>
        <w:t xml:space="preserve"/>
      </w:r>
    </w:p>
    <w:p>
      <w:pPr>
        <w:spacing w:after="80"/>
      </w:pPr>
      <w:r>
        <w:t xml:space="preserve"/>
      </w:r>
    </w:p>
    <w:p>
      <w:pPr>
        <w:jc w:val="center"/>
      </w:pPr>
      <w:r>
        <w:rPr>
          <w:rFonts w:ascii="Arial" w:cs="Arial" w:eastAsia="Arial" w:hAnsi="Arial"/>
          <w:i/>
          <w:iCs/>
          <w:color w:val="888888"/>
          <w:sz w:val="18"/>
          <w:szCs w:val="18"/>
        </w:rPr>
        <w:t xml:space="preserve">CONTROLLED DOCUMENT  |  Check the Document Management System for the current version</w:t>
      </w:r>
    </w:p>
    <w:p>
      <w:r>
        <w:br w:type="page"/>
      </w:r>
    </w:p>
    <w:p>
      <w:pPr>
        <w:pStyle w:val="Heading1"/>
        <w:pBdr>
          <w:bottom w:val="single" w:color="0D7A77" w:sz="6" w:space="4"/>
        </w:pBdr>
        <w:spacing w:after="180" w:before="360"/>
      </w:pPr>
      <w:r>
        <w:rPr>
          <w:rFonts w:ascii="Arial" w:cs="Arial" w:eastAsia="Arial" w:hAnsi="Arial"/>
          <w:b/>
          <w:bCs/>
          <w:color w:val="1B3A6B"/>
          <w:sz w:val="32"/>
          <w:szCs w:val="32"/>
        </w:rPr>
        <w:t xml:space="preserve">1. Purpose and Scope</w:t>
      </w:r>
    </w:p>
    <w:p>
      <w:pPr>
        <w:spacing w:after="120"/>
      </w:pPr>
      <w:r>
        <w:rPr>
          <w:rFonts w:ascii="Arial" w:cs="Arial" w:eastAsia="Arial" w:hAnsi="Arial"/>
          <w:b w:val="false"/>
          <w:bCs w:val="false"/>
          <w:color w:val="1A1A1A"/>
          <w:sz w:val="22"/>
          <w:szCs w:val="22"/>
        </w:rPr>
        <w:t xml:space="preserve">This Policy and Guidance Procedure establishes the framework governing the responsible adoption, use, and oversight of Generative Artificial Intelligence (GenAI) systems within the organisation. It is derived from ISO/IEC CD TS 25568 Guidance on Generative AI Risks, and aligns with ISO/IEC 42001:2023 (AI Management Systems), ISO/IEC 23894 (AI Risk Management), ISO 31000:2018 (Risk Management), and applicable regulatory requirements including the EU AI Act (Regulation 2024/1689).</w:t>
      </w:r>
    </w:p>
    <w:p>
      <w:pPr>
        <w:spacing w:after="80"/>
      </w:pPr>
      <w:r>
        <w:t xml:space="preserve"/>
      </w:r>
    </w:p>
    <w:p>
      <w:pPr>
        <w:spacing w:after="120"/>
      </w:pPr>
      <w:r>
        <w:rPr>
          <w:rFonts w:ascii="Arial" w:cs="Arial" w:eastAsia="Arial" w:hAnsi="Arial"/>
          <w:b w:val="false"/>
          <w:bCs w:val="false"/>
          <w:color w:val="1A1A1A"/>
          <w:sz w:val="22"/>
          <w:szCs w:val="22"/>
        </w:rPr>
        <w:t xml:space="preserve">Life science organisations operate in a high-consequence environment where AI-generated content — whether clinical, regulatory, technical, or quality-related — can directly affect product safety, patient outcomes, and regulatory compliance. The unique characteristics of GenAI systems, including confabulation (hallucination), probabilistic output, and emergent behaviour, create risks that are materially different from those associated with traditional software and require dedicated governance.</w:t>
      </w:r>
    </w:p>
    <w:p>
      <w:pPr>
        <w:spacing w:after="80"/>
      </w:pPr>
      <w:r>
        <w:t xml:space="preserve"/>
      </w:r>
    </w:p>
    <w:p>
      <w:pPr>
        <w:spacing w:after="120"/>
      </w:pPr>
      <w:r>
        <w:rPr>
          <w:rFonts w:ascii="Arial" w:cs="Arial" w:eastAsia="Arial" w:hAnsi="Arial"/>
          <w:b/>
          <w:bCs/>
          <w:color w:val="1B3A6B"/>
          <w:sz w:val="22"/>
          <w:szCs w:val="22"/>
        </w:rPr>
        <w:t xml:space="preserve">This procedure applies to:</w:t>
      </w:r>
    </w:p>
    <w:p>
      <w:pPr>
        <w:pStyle w:val="ListParagraph"/>
        <w:numPr>
          <w:ilvl w:val="0"/>
          <w:numId w:val="2"/>
        </w:numPr>
      </w:pPr>
      <w:r>
        <w:rPr>
          <w:rFonts w:ascii="Arial" w:cs="Arial" w:eastAsia="Arial" w:hAnsi="Arial"/>
          <w:color w:val="1A1A1A"/>
          <w:sz w:val="22"/>
          <w:szCs w:val="22"/>
        </w:rPr>
        <w:t xml:space="preserve">All staff, contractors, and third parties who use, deploy, or procure GenAI systems on behalf of the organisation</w:t>
      </w:r>
    </w:p>
    <w:p>
      <w:pPr>
        <w:pStyle w:val="ListParagraph"/>
        <w:numPr>
          <w:ilvl w:val="0"/>
          <w:numId w:val="2"/>
        </w:numPr>
      </w:pPr>
      <w:r>
        <w:rPr>
          <w:rFonts w:ascii="Arial" w:cs="Arial" w:eastAsia="Arial" w:hAnsi="Arial"/>
          <w:color w:val="1A1A1A"/>
          <w:sz w:val="22"/>
          <w:szCs w:val="22"/>
        </w:rPr>
        <w:t xml:space="preserve">GenAI systems used in any business function including R&amp;D, regulatory affairs, quality management, clinical operations, manufacturing, and corporate services</w:t>
      </w:r>
    </w:p>
    <w:p>
      <w:pPr>
        <w:pStyle w:val="ListParagraph"/>
        <w:numPr>
          <w:ilvl w:val="0"/>
          <w:numId w:val="2"/>
        </w:numPr>
      </w:pPr>
      <w:r>
        <w:rPr>
          <w:rFonts w:ascii="Arial" w:cs="Arial" w:eastAsia="Arial" w:hAnsi="Arial"/>
          <w:color w:val="1A1A1A"/>
          <w:sz w:val="22"/>
          <w:szCs w:val="22"/>
        </w:rPr>
        <w:t xml:space="preserve">Third-party GenAI components embedded in software, platforms, or services procured by the organisation</w:t>
      </w:r>
    </w:p>
    <w:p>
      <w:pPr>
        <w:pStyle w:val="ListParagraph"/>
        <w:numPr>
          <w:ilvl w:val="0"/>
          <w:numId w:val="2"/>
        </w:numPr>
      </w:pPr>
      <w:r>
        <w:rPr>
          <w:rFonts w:ascii="Arial" w:cs="Arial" w:eastAsia="Arial" w:hAnsi="Arial"/>
          <w:color w:val="1A1A1A"/>
          <w:sz w:val="22"/>
          <w:szCs w:val="22"/>
        </w:rPr>
        <w:t xml:space="preserve">Both cloud-based and on-premise GenAI deployments</w:t>
      </w:r>
    </w:p>
    <w:p>
      <w:pPr>
        <w:spacing w:after="80"/>
      </w:pPr>
      <w:r>
        <w:t xml:space="preserve"/>
      </w:r>
    </w:p>
    <w:p>
      <w:pPr>
        <w:pBdr>
          <w:left w:val="single" w:color="0D7A77" w:sz="12" w:space="6"/>
        </w:pBdr>
        <w:shd w:fill="E8F4F4" w:val="clear"/>
        <w:spacing w:after="120" w:before="120"/>
        <w:ind w:left="360" w:right="360"/>
      </w:pPr>
      <w:r>
        <w:rPr>
          <w:rFonts w:ascii="Arial" w:cs="Arial" w:eastAsia="Arial" w:hAnsi="Arial"/>
          <w:b/>
          <w:bCs/>
          <w:color w:val="0D7A77"/>
          <w:sz w:val="22"/>
          <w:szCs w:val="22"/>
        </w:rPr>
        <w:t xml:space="preserve">Regulatory Note: </w:t>
      </w:r>
      <w:r>
        <w:rPr>
          <w:rFonts w:ascii="Arial" w:cs="Arial" w:eastAsia="Arial" w:hAnsi="Arial"/>
          <w:color w:val="1A1A1A"/>
          <w:sz w:val="22"/>
          <w:szCs w:val="22"/>
        </w:rPr>
        <w:t xml:space="preserve">For AI-enabled medical devices (AIeMD) and Software as a Medical Device (SaMD), this procedure must be read in conjunction with your AI/ML Change Management Plan and applicable product-specific technical documentation. Refer to applicable notified body guidance and competent authority requirements under EU MDR 2017/745 and IVDR 2017/746.</w:t>
      </w:r>
    </w:p>
    <w:p>
      <w:pPr>
        <w:spacing w:after="80"/>
      </w:pPr>
      <w:r>
        <w:t xml:space="preserve"/>
      </w:r>
    </w:p>
    <w:p>
      <w:pPr>
        <w:pStyle w:val="Heading1"/>
        <w:pBdr>
          <w:bottom w:val="single" w:color="0D7A77" w:sz="6" w:space="4"/>
        </w:pBdr>
        <w:spacing w:after="180" w:before="360"/>
      </w:pPr>
      <w:r>
        <w:rPr>
          <w:rFonts w:ascii="Arial" w:cs="Arial" w:eastAsia="Arial" w:hAnsi="Arial"/>
          <w:b/>
          <w:bCs/>
          <w:color w:val="1B3A6B"/>
          <w:sz w:val="32"/>
          <w:szCs w:val="32"/>
        </w:rPr>
        <w:t xml:space="preserve">2. Normative and Informative References</w:t>
      </w:r>
    </w:p>
    <w:p>
      <w:pPr>
        <w:spacing w:after="120"/>
      </w:pPr>
      <w:r>
        <w:rPr>
          <w:rFonts w:ascii="Arial" w:cs="Arial" w:eastAsia="Arial" w:hAnsi="Arial"/>
          <w:b w:val="false"/>
          <w:bCs w:val="false"/>
          <w:color w:val="1A1A1A"/>
          <w:sz w:val="22"/>
          <w:szCs w:val="22"/>
        </w:rPr>
        <w:t xml:space="preserve">The following documents are referenced throughout this procedure. For dated references, only the cited edition applies.</w:t>
      </w:r>
    </w:p>
    <w:p>
      <w:pPr>
        <w:spacing w:after="80"/>
      </w:pPr>
      <w:r>
        <w:t xml:space="preserve"/>
      </w:r>
    </w:p>
    <w:p>
      <w:pPr>
        <w:pStyle w:val="ListParagraph"/>
        <w:numPr>
          <w:ilvl w:val="0"/>
          <w:numId w:val="2"/>
        </w:numPr>
      </w:pPr>
      <w:r>
        <w:rPr>
          <w:rFonts w:ascii="Arial" w:cs="Arial" w:eastAsia="Arial" w:hAnsi="Arial"/>
          <w:color w:val="1A1A1A"/>
          <w:sz w:val="22"/>
          <w:szCs w:val="22"/>
        </w:rPr>
        <w:t xml:space="preserve">ISO/IEC CD TS 25568 — Guidance on Generative AI Risks (primary source document for this procedure)</w:t>
      </w:r>
    </w:p>
    <w:p>
      <w:pPr>
        <w:pStyle w:val="ListParagraph"/>
        <w:numPr>
          <w:ilvl w:val="0"/>
          <w:numId w:val="2"/>
        </w:numPr>
      </w:pPr>
      <w:r>
        <w:rPr>
          <w:rFonts w:ascii="Arial" w:cs="Arial" w:eastAsia="Arial" w:hAnsi="Arial"/>
          <w:color w:val="1A1A1A"/>
          <w:sz w:val="22"/>
          <w:szCs w:val="22"/>
        </w:rPr>
        <w:t xml:space="preserve">ISO/IEC 42001:2023 — Information technology — Artificial intelligence — Management system</w:t>
      </w:r>
    </w:p>
    <w:p>
      <w:pPr>
        <w:pStyle w:val="ListParagraph"/>
        <w:numPr>
          <w:ilvl w:val="0"/>
          <w:numId w:val="2"/>
        </w:numPr>
      </w:pPr>
      <w:r>
        <w:rPr>
          <w:rFonts w:ascii="Arial" w:cs="Arial" w:eastAsia="Arial" w:hAnsi="Arial"/>
          <w:color w:val="1A1A1A"/>
          <w:sz w:val="22"/>
          <w:szCs w:val="22"/>
        </w:rPr>
        <w:t xml:space="preserve">ISO/IEC 23894:2023 — Information technology — Artificial intelligence — Guidance on risk management</w:t>
      </w:r>
    </w:p>
    <w:p>
      <w:pPr>
        <w:pStyle w:val="ListParagraph"/>
        <w:numPr>
          <w:ilvl w:val="0"/>
          <w:numId w:val="2"/>
        </w:numPr>
      </w:pPr>
      <w:r>
        <w:rPr>
          <w:rFonts w:ascii="Arial" w:cs="Arial" w:eastAsia="Arial" w:hAnsi="Arial"/>
          <w:color w:val="1A1A1A"/>
          <w:sz w:val="22"/>
          <w:szCs w:val="22"/>
        </w:rPr>
        <w:t xml:space="preserve">ISO 31000:2018 — Risk management — Guidelines</w:t>
      </w:r>
    </w:p>
    <w:p>
      <w:pPr>
        <w:pStyle w:val="ListParagraph"/>
        <w:numPr>
          <w:ilvl w:val="0"/>
          <w:numId w:val="2"/>
        </w:numPr>
      </w:pPr>
      <w:r>
        <w:rPr>
          <w:rFonts w:ascii="Arial" w:cs="Arial" w:eastAsia="Arial" w:hAnsi="Arial"/>
          <w:color w:val="1A1A1A"/>
          <w:sz w:val="22"/>
          <w:szCs w:val="22"/>
        </w:rPr>
        <w:t xml:space="preserve">ISO/IEC 22989:2022 — Artificial intelligence concepts and terminology</w:t>
      </w:r>
    </w:p>
    <w:p>
      <w:pPr>
        <w:pStyle w:val="ListParagraph"/>
        <w:numPr>
          <w:ilvl w:val="0"/>
          <w:numId w:val="2"/>
        </w:numPr>
      </w:pPr>
      <w:r>
        <w:rPr>
          <w:rFonts w:ascii="Arial" w:cs="Arial" w:eastAsia="Arial" w:hAnsi="Arial"/>
          <w:color w:val="1A1A1A"/>
          <w:sz w:val="22"/>
          <w:szCs w:val="22"/>
        </w:rPr>
        <w:t xml:space="preserve">ISO/IEC 42005 — AI System Impact Assessment (in development)</w:t>
      </w:r>
    </w:p>
    <w:p>
      <w:pPr>
        <w:pStyle w:val="ListParagraph"/>
        <w:numPr>
          <w:ilvl w:val="0"/>
          <w:numId w:val="2"/>
        </w:numPr>
      </w:pPr>
      <w:r>
        <w:rPr>
          <w:rFonts w:ascii="Arial" w:cs="Arial" w:eastAsia="Arial" w:hAnsi="Arial"/>
          <w:color w:val="1A1A1A"/>
          <w:sz w:val="22"/>
          <w:szCs w:val="22"/>
        </w:rPr>
        <w:t xml:space="preserve">EU AI Act — Regulation 2024/1689 of the European Parliament and of the Council</w:t>
      </w:r>
    </w:p>
    <w:p>
      <w:pPr>
        <w:pStyle w:val="ListParagraph"/>
        <w:numPr>
          <w:ilvl w:val="0"/>
          <w:numId w:val="2"/>
        </w:numPr>
      </w:pPr>
      <w:r>
        <w:rPr>
          <w:rFonts w:ascii="Arial" w:cs="Arial" w:eastAsia="Arial" w:hAnsi="Arial"/>
          <w:color w:val="1A1A1A"/>
          <w:sz w:val="22"/>
          <w:szCs w:val="22"/>
        </w:rPr>
        <w:t xml:space="preserve">NIST AI RMF — Artificial Intelligence Risk Management Framework (NIST AI 100-1)</w:t>
      </w:r>
    </w:p>
    <w:p>
      <w:pPr>
        <w:pStyle w:val="ListParagraph"/>
        <w:numPr>
          <w:ilvl w:val="0"/>
          <w:numId w:val="2"/>
        </w:numPr>
      </w:pPr>
      <w:r>
        <w:rPr>
          <w:rFonts w:ascii="Arial" w:cs="Arial" w:eastAsia="Arial" w:hAnsi="Arial"/>
          <w:color w:val="1A1A1A"/>
          <w:sz w:val="22"/>
          <w:szCs w:val="22"/>
        </w:rPr>
        <w:t xml:space="preserve">NIST AI 600-1 — Generative Artificial Intelligence Profile</w:t>
      </w:r>
    </w:p>
    <w:p>
      <w:pPr>
        <w:pStyle w:val="ListParagraph"/>
        <w:numPr>
          <w:ilvl w:val="0"/>
          <w:numId w:val="2"/>
        </w:numPr>
      </w:pPr>
      <w:r>
        <w:rPr>
          <w:rFonts w:ascii="Arial" w:cs="Arial" w:eastAsia="Arial" w:hAnsi="Arial"/>
          <w:color w:val="1A1A1A"/>
          <w:sz w:val="22"/>
          <w:szCs w:val="22"/>
        </w:rPr>
        <w:t xml:space="preserve">ISO 13485:2016 — Medical devices — Quality management systems</w:t>
      </w:r>
    </w:p>
    <w:p>
      <w:pPr>
        <w:pStyle w:val="ListParagraph"/>
        <w:numPr>
          <w:ilvl w:val="0"/>
          <w:numId w:val="2"/>
        </w:numPr>
      </w:pPr>
      <w:r>
        <w:rPr>
          <w:rFonts w:ascii="Arial" w:cs="Arial" w:eastAsia="Arial" w:hAnsi="Arial"/>
          <w:color w:val="1A1A1A"/>
          <w:sz w:val="22"/>
          <w:szCs w:val="22"/>
        </w:rPr>
        <w:t xml:space="preserve">EU MDR 2017/745 / IVDR 2017/746 (where applicable)</w:t>
      </w:r>
    </w:p>
    <w:p>
      <w:pPr>
        <w:spacing w:after="80"/>
      </w:pPr>
      <w:r>
        <w:t xml:space="preserve"/>
      </w:r>
    </w:p>
    <w:p>
      <w:pPr>
        <w:pStyle w:val="Heading1"/>
        <w:pBdr>
          <w:bottom w:val="single" w:color="0D7A77" w:sz="6" w:space="4"/>
        </w:pBdr>
        <w:spacing w:after="180" w:before="360"/>
      </w:pPr>
      <w:r>
        <w:rPr>
          <w:rFonts w:ascii="Arial" w:cs="Arial" w:eastAsia="Arial" w:hAnsi="Arial"/>
          <w:b/>
          <w:bCs/>
          <w:color w:val="1B3A6B"/>
          <w:sz w:val="32"/>
          <w:szCs w:val="32"/>
        </w:rPr>
        <w:t xml:space="preserve">3. Terms and Definitions</w:t>
      </w:r>
    </w:p>
    <w:p>
      <w:pPr>
        <w:spacing w:after="120"/>
      </w:pPr>
      <w:r>
        <w:rPr>
          <w:rFonts w:ascii="Arial" w:cs="Arial" w:eastAsia="Arial" w:hAnsi="Arial"/>
          <w:b w:val="false"/>
          <w:bCs w:val="false"/>
          <w:color w:val="1A1A1A"/>
          <w:sz w:val="22"/>
          <w:szCs w:val="22"/>
        </w:rPr>
        <w:t xml:space="preserve">The following terms are defined for the purposes of this document. Additional terms are defined in ISO/IEC 22989:2022 and ISO/IEC CD TS 25568.</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Term</w:t>
            </w:r>
          </w:p>
        </w:tc>
        <w:tc>
          <w:tcPr>
            <w:tcW w:type="dxa" w:w="696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Definition</w:t>
            </w:r>
          </w:p>
        </w:tc>
      </w:tr>
      <w:tr>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Generative AI System</w:t>
            </w:r>
          </w:p>
        </w:tc>
        <w:tc>
          <w:tcPr>
            <w:tcW w:type="dxa" w:w="69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An AI system that generates new content (text, image, audio, code, etc.) by modelling patterns in large training datasets. Defined in ISO/IEC 22989:2022/DAmd 1.</w:t>
            </w:r>
          </w:p>
        </w:tc>
      </w:tr>
      <w:tr>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Confabulation (Hallucination)</w:t>
            </w:r>
          </w:p>
        </w:tc>
        <w:tc>
          <w:tcPr>
            <w:tcW w:type="dxa" w:w="69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A phenomenon in which a GenAI system generates and confidently presents erroneous, fabricated, or inconsistent content. Includes fabricated citations, incorrect logic, and contradictory statements within the same context. Defined in ISO/IEC CD TS 25568, §6.6.2.</w:t>
            </w:r>
          </w:p>
        </w:tc>
      </w:tr>
      <w:tr>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Veracity</w:t>
            </w:r>
          </w:p>
        </w:tc>
        <w:tc>
          <w:tcPr>
            <w:tcW w:type="dxa" w:w="69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The property of GenAI output that is both factually correct and justified by the system's knowledge — not hallucinated or incorrect. Defined in ISO/IEC CD TS 25568, §3.4.</w:t>
            </w:r>
          </w:p>
        </w:tc>
      </w:tr>
      <w:tr>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Prompt Injection</w:t>
            </w:r>
          </w:p>
        </w:tc>
        <w:tc>
          <w:tcPr>
            <w:tcW w:type="dxa" w:w="69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An attack in which adversarial input causes a GenAI system to behave in unintended or harmful ways. Direct attacks involve crafted user input; indirect attacks exploit data retrieved at runtime (e.g. RAG sources). §6.11.3.</w:t>
            </w:r>
          </w:p>
        </w:tc>
      </w:tr>
      <w:tr>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Automation Bias</w:t>
            </w:r>
          </w:p>
        </w:tc>
        <w:tc>
          <w:tcPr>
            <w:tcW w:type="dxa" w:w="69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The tendency of humans to over-rely on AI outputs, deferring to the system even when human judgement would identify errors. Exacerbated by the convincing and confident nature of GenAI outputs. §6.3.2.</w:t>
            </w:r>
          </w:p>
        </w:tc>
      </w:tr>
      <w:tr>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Value Chain</w:t>
            </w:r>
          </w:p>
        </w:tc>
        <w:tc>
          <w:tcPr>
            <w:tcW w:type="dxa" w:w="69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The set of organisations involved in the AI system lifecycle including data providers, foundation model developers, fine-tuning developers, deployers, and end-users.</w:t>
            </w:r>
          </w:p>
        </w:tc>
      </w:tr>
      <w:tr>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AI Deployer</w:t>
            </w:r>
          </w:p>
        </w:tc>
        <w:tc>
          <w:tcPr>
            <w:tcW w:type="dxa" w:w="69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An organisation that deploys a GenAI system developed by another party for use in its operations or products.</w:t>
            </w:r>
          </w:p>
        </w:tc>
      </w:tr>
      <w:tr>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Foundation Model</w:t>
            </w:r>
          </w:p>
        </w:tc>
        <w:tc>
          <w:tcPr>
            <w:tcW w:type="dxa" w:w="69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A large-scale AI model trained on broad data and applicable across many tasks; often fine-tuned or integrated into downstream products.</w:t>
            </w:r>
          </w:p>
        </w:tc>
      </w:tr>
      <w:tr>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RAG (Retrieval-Augmented Generation)</w:t>
            </w:r>
          </w:p>
        </w:tc>
        <w:tc>
          <w:tcPr>
            <w:tcW w:type="dxa" w:w="69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 GenAI architecture in which the system retrieves relevant context from external knowledge sources at runtime before generating a response.</w:t>
            </w:r>
          </w:p>
        </w:tc>
      </w:tr>
      <w:tr>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Context Window</w:t>
            </w:r>
          </w:p>
        </w:tc>
        <w:tc>
          <w:tcPr>
            <w:tcW w:type="dxa" w:w="69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The range of historical information (text, data, prior interactions) a GenAI system can utilise when processing a current user input. §3.2.</w:t>
            </w:r>
          </w:p>
        </w:tc>
      </w:tr>
      <w:tr>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Data Poisoning</w:t>
            </w:r>
          </w:p>
        </w:tc>
        <w:tc>
          <w:tcPr>
            <w:tcW w:type="dxa" w:w="69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An adversarial attack where training or fine-tuning data is compromised to manipulate model outputs or behaviour.</w:t>
            </w:r>
          </w:p>
        </w:tc>
      </w:tr>
      <w:tr>
        <w:tc>
          <w:tcPr>
            <w:tcW w:type="dxa" w:w="24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Homogenisation</w:t>
            </w:r>
          </w:p>
        </w:tc>
        <w:tc>
          <w:tcPr>
            <w:tcW w:type="dxa" w:w="69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A phenomenon where GenAI systems produce skewed, overly uniform outputs that reduce content diversity and can amplify existing biases.</w:t>
            </w:r>
          </w:p>
        </w:tc>
      </w:tr>
    </w:tbl>
    <w:p>
      <w:pPr>
        <w:spacing w:after="80"/>
      </w:pPr>
      <w:r>
        <w:t xml:space="preserve"/>
      </w:r>
    </w:p>
    <w:p>
      <w:pPr>
        <w:pStyle w:val="Heading1"/>
        <w:pBdr>
          <w:bottom w:val="single" w:color="0D7A77" w:sz="6" w:space="4"/>
        </w:pBdr>
        <w:spacing w:after="180" w:before="360"/>
      </w:pPr>
      <w:r>
        <w:rPr>
          <w:rFonts w:ascii="Arial" w:cs="Arial" w:eastAsia="Arial" w:hAnsi="Arial"/>
          <w:b/>
          <w:bCs/>
          <w:color w:val="1B3A6B"/>
          <w:sz w:val="32"/>
          <w:szCs w:val="32"/>
        </w:rPr>
        <w:t xml:space="preserve">4. Policy Statement</w:t>
      </w:r>
    </w:p>
    <w:p>
      <w:pPr>
        <w:spacing w:after="120"/>
      </w:pPr>
      <w:r>
        <w:rPr>
          <w:rFonts w:ascii="Arial" w:cs="Arial" w:eastAsia="Arial" w:hAnsi="Arial"/>
          <w:b w:val="false"/>
          <w:bCs w:val="false"/>
          <w:color w:val="1A1A1A"/>
          <w:sz w:val="22"/>
          <w:szCs w:val="22"/>
        </w:rPr>
        <w:t xml:space="preserve">The organisation is committed to harnessing the productivity and innovation benefits of Generative AI while ensuring that its use does not compromise product quality, patient safety, data integrity, regulatory compliance, or organisational accountability.</w:t>
      </w:r>
    </w:p>
    <w:p>
      <w:pPr>
        <w:spacing w:after="80"/>
      </w:pPr>
      <w:r>
        <w:t xml:space="preserve"/>
      </w:r>
    </w:p>
    <w:p>
      <w:pPr>
        <w:spacing w:after="120"/>
      </w:pPr>
      <w:r>
        <w:rPr>
          <w:rFonts w:ascii="Arial" w:cs="Arial" w:eastAsia="Arial" w:hAnsi="Arial"/>
          <w:b/>
          <w:bCs/>
          <w:color w:val="1B3A6B"/>
          <w:sz w:val="22"/>
          <w:szCs w:val="22"/>
        </w:rPr>
        <w:t xml:space="preserve">GenAI systems shall be used in a manner that is:</w:t>
      </w:r>
    </w:p>
    <w:p>
      <w:pPr>
        <w:pStyle w:val="ListParagraph"/>
        <w:numPr>
          <w:ilvl w:val="0"/>
          <w:numId w:val="2"/>
        </w:numPr>
      </w:pPr>
      <w:r>
        <w:rPr>
          <w:rFonts w:ascii="Arial" w:cs="Arial" w:eastAsia="Arial" w:hAnsi="Arial"/>
          <w:color w:val="1A1A1A"/>
          <w:sz w:val="22"/>
          <w:szCs w:val="22"/>
        </w:rPr>
        <w:t xml:space="preserve">Risk-proportionate — The level of oversight, validation, and control applied to any GenAI use case shall be commensurate with the potential impact on patient safety, product quality, and regulatory compliance.</w:t>
      </w:r>
    </w:p>
    <w:p>
      <w:pPr>
        <w:pStyle w:val="ListParagraph"/>
        <w:numPr>
          <w:ilvl w:val="0"/>
          <w:numId w:val="2"/>
        </w:numPr>
      </w:pPr>
      <w:r>
        <w:rPr>
          <w:rFonts w:ascii="Arial" w:cs="Arial" w:eastAsia="Arial" w:hAnsi="Arial"/>
          <w:color w:val="1A1A1A"/>
          <w:sz w:val="22"/>
          <w:szCs w:val="22"/>
        </w:rPr>
        <w:t xml:space="preserve">Transparent — All use of GenAI in regulated processes shall be disclosed, documented, and traceable.</w:t>
      </w:r>
    </w:p>
    <w:p>
      <w:pPr>
        <w:pStyle w:val="ListParagraph"/>
        <w:numPr>
          <w:ilvl w:val="0"/>
          <w:numId w:val="2"/>
        </w:numPr>
      </w:pPr>
      <w:r>
        <w:rPr>
          <w:rFonts w:ascii="Arial" w:cs="Arial" w:eastAsia="Arial" w:hAnsi="Arial"/>
          <w:color w:val="1A1A1A"/>
          <w:sz w:val="22"/>
          <w:szCs w:val="22"/>
        </w:rPr>
        <w:t xml:space="preserve">Human-supervised — No GenAI output shall be used in a regulated context without appropriate human review and validation by a qualified person.</w:t>
      </w:r>
    </w:p>
    <w:p>
      <w:pPr>
        <w:pStyle w:val="ListParagraph"/>
        <w:numPr>
          <w:ilvl w:val="0"/>
          <w:numId w:val="2"/>
        </w:numPr>
      </w:pPr>
      <w:r>
        <w:rPr>
          <w:rFonts w:ascii="Arial" w:cs="Arial" w:eastAsia="Arial" w:hAnsi="Arial"/>
          <w:color w:val="1A1A1A"/>
          <w:sz w:val="22"/>
          <w:szCs w:val="22"/>
        </w:rPr>
        <w:t xml:space="preserve">Accountable — Clear responsibility for GenAI governance shall be assigned across the value chain.</w:t>
      </w:r>
    </w:p>
    <w:p>
      <w:pPr>
        <w:pStyle w:val="ListParagraph"/>
        <w:numPr>
          <w:ilvl w:val="0"/>
          <w:numId w:val="2"/>
        </w:numPr>
      </w:pPr>
      <w:r>
        <w:rPr>
          <w:rFonts w:ascii="Arial" w:cs="Arial" w:eastAsia="Arial" w:hAnsi="Arial"/>
          <w:color w:val="1A1A1A"/>
          <w:sz w:val="22"/>
          <w:szCs w:val="22"/>
        </w:rPr>
        <w:t xml:space="preserve">Compliant — GenAI use shall comply with applicable regulations, standards, and this organisation's quality management system (QMS).</w:t>
      </w:r>
    </w:p>
    <w:p>
      <w:pPr>
        <w:spacing w:after="80"/>
      </w:pPr>
      <w:r>
        <w:t xml:space="preserve"/>
      </w:r>
    </w:p>
    <w:p>
      <w:pPr>
        <w:pBdr>
          <w:left w:val="single" w:color="0D7A77" w:sz="12" w:space="6"/>
        </w:pBdr>
        <w:shd w:fill="E8F4F4" w:val="clear"/>
        <w:spacing w:after="120" w:before="120"/>
        <w:ind w:left="360" w:right="360"/>
      </w:pPr>
      <w:r>
        <w:rPr>
          <w:rFonts w:ascii="Arial" w:cs="Arial" w:eastAsia="Arial" w:hAnsi="Arial"/>
          <w:b/>
          <w:bCs/>
          <w:color w:val="0D7A77"/>
          <w:sz w:val="22"/>
          <w:szCs w:val="22"/>
        </w:rPr>
        <w:t xml:space="preserve">ISO/IEC CD TS 25568 §6.2: </w:t>
      </w:r>
      <w:r>
        <w:rPr>
          <w:rFonts w:ascii="Arial" w:cs="Arial" w:eastAsia="Arial" w:hAnsi="Arial"/>
          <w:color w:val="1A1A1A"/>
          <w:sz w:val="22"/>
          <w:szCs w:val="22"/>
        </w:rPr>
        <w:t xml:space="preserve">Organizations should design clear accountability structures tailored to their operational context, with mechanisms to clarify responsibilities for risk management across teams, and frameworks for human oversight calibrated to the system's complexity and potential impact.</w:t>
      </w:r>
    </w:p>
    <w:p>
      <w:pPr>
        <w:spacing w:after="80"/>
      </w:pPr>
      <w:r>
        <w:t xml:space="preserve"/>
      </w:r>
    </w:p>
    <w:p>
      <w:pPr>
        <w:pStyle w:val="Heading1"/>
        <w:pBdr>
          <w:bottom w:val="single" w:color="0D7A77" w:sz="6" w:space="4"/>
        </w:pBdr>
        <w:spacing w:after="180" w:before="360"/>
      </w:pPr>
      <w:r>
        <w:rPr>
          <w:rFonts w:ascii="Arial" w:cs="Arial" w:eastAsia="Arial" w:hAnsi="Arial"/>
          <w:b/>
          <w:bCs/>
          <w:color w:val="1B3A6B"/>
          <w:sz w:val="32"/>
          <w:szCs w:val="32"/>
        </w:rPr>
        <w:t xml:space="preserve">5. Generative AI Risk Framework</w:t>
      </w:r>
    </w:p>
    <w:p>
      <w:pPr>
        <w:pStyle w:val="Heading2"/>
        <w:spacing w:after="120" w:before="280"/>
      </w:pPr>
      <w:r>
        <w:rPr>
          <w:rFonts w:ascii="Arial" w:cs="Arial" w:eastAsia="Arial" w:hAnsi="Arial"/>
          <w:b/>
          <w:bCs/>
          <w:color w:val="0D7A77"/>
          <w:sz w:val="26"/>
          <w:szCs w:val="26"/>
        </w:rPr>
        <w:t xml:space="preserve">5.1 Overview</w:t>
      </w:r>
    </w:p>
    <w:p>
      <w:pPr>
        <w:spacing w:after="120"/>
      </w:pPr>
      <w:r>
        <w:rPr>
          <w:rFonts w:ascii="Arial" w:cs="Arial" w:eastAsia="Arial" w:hAnsi="Arial"/>
          <w:b w:val="false"/>
          <w:bCs w:val="false"/>
          <w:color w:val="1A1A1A"/>
          <w:sz w:val="22"/>
          <w:szCs w:val="22"/>
        </w:rPr>
        <w:t xml:space="preserve">ISO/IEC CD TS 25568 identifies ten organisational objectives against which GenAI risks must be managed. The table below maps these to life science–specific considerations. For each risk area, organisations should document their risk assessment in accordance with ISO/IEC 23894 and ISO 31000.</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520"/>
        <w:gridCol w:w="2160"/>
        <w:gridCol w:w="2880"/>
      </w:tblGrid>
      <w:tr>
        <w:trPr>
          <w:tblHeader/>
        </w:trPr>
        <w:tc>
          <w:tcPr>
            <w:tcW w:type="dxa" w:w="180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Risk Category</w:t>
            </w:r>
          </w:p>
        </w:tc>
        <w:tc>
          <w:tcPr>
            <w:tcW w:type="dxa" w:w="252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Key Risk Sources (ISO/IEC CD TS 25568)</w:t>
            </w:r>
          </w:p>
        </w:tc>
        <w:tc>
          <w:tcPr>
            <w:tcW w:type="dxa" w:w="216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Potential Impact</w:t>
            </w:r>
          </w:p>
        </w:tc>
        <w:tc>
          <w:tcPr>
            <w:tcW w:type="dxa" w:w="288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Recommended Controls</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Accountability
(§6.2)</w:t>
            </w:r>
          </w:p>
        </w:tc>
        <w:tc>
          <w:tcPr>
            <w:tcW w:type="dxa" w:w="2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Opacity of GenAI models; weak accountability chains; third-party dependency; lack of human-in-the-loop mechanisms</w:t>
            </w:r>
          </w:p>
        </w:tc>
        <w:tc>
          <w:tcPr>
            <w:tcW w:type="dxa" w:w="2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Undefined liability for AI-generated regulatory submissions, SOPs, or labelling errors</w:t>
            </w:r>
          </w:p>
        </w:tc>
        <w:tc>
          <w:tcPr>
            <w:tcW w:type="dxa" w:w="28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Define AI governance roles; establish AI use registers; require contractual accountability from AI vendors; implement human sign-off workflows</w:t>
            </w:r>
          </w:p>
        </w:tc>
      </w:tr>
      <w:tr>
        <w:tc>
          <w:tcPr>
            <w:tcW w:type="dxa" w:w="18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Human Interaction
(§6.3)</w:t>
            </w:r>
          </w:p>
        </w:tc>
        <w:tc>
          <w:tcPr>
            <w:tcW w:type="dxa" w:w="252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Automation bias; over-reliance on AI outputs; emotional entanglement; loss of human control in agentic systems</w:t>
            </w:r>
          </w:p>
        </w:tc>
        <w:tc>
          <w:tcPr>
            <w:tcW w:type="dxa" w:w="21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Uncritical acceptance of hallucinated content in technical documents; gradual deskilling</w:t>
            </w:r>
          </w:p>
        </w:tc>
        <w:tc>
          <w:tcPr>
            <w:tcW w:type="dxa" w:w="288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Mandatory AI literacy training; explicit AI-output review requirements in SOPs; confirmatory verification against authoritative sources</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Safety
(§6.4)</w:t>
            </w:r>
          </w:p>
        </w:tc>
        <w:tc>
          <w:tcPr>
            <w:tcW w:type="dxa" w:w="2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Confabulation; information integrity failures; WMD/dangerous content; physical safety risk from flawed AI instructions</w:t>
            </w:r>
          </w:p>
        </w:tc>
        <w:tc>
          <w:tcPr>
            <w:tcW w:type="dxa" w:w="2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Incorrect manufacturing instructions, clinical protocols, or labelling generated by AI and used without verification</w:t>
            </w:r>
          </w:p>
        </w:tc>
        <w:tc>
          <w:tcPr>
            <w:tcW w:type="dxa" w:w="28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Critical content must never be used without expert review; implement output filtering; maintain AI-free fallback processes for safety-critical functions</w:t>
            </w:r>
          </w:p>
        </w:tc>
      </w:tr>
      <w:tr>
        <w:tc>
          <w:tcPr>
            <w:tcW w:type="dxa" w:w="18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Environmental
(§6.5)</w:t>
            </w:r>
          </w:p>
        </w:tc>
        <w:tc>
          <w:tcPr>
            <w:tcW w:type="dxa" w:w="252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Energy/carbon footprint of training and inference</w:t>
            </w:r>
          </w:p>
        </w:tc>
        <w:tc>
          <w:tcPr>
            <w:tcW w:type="dxa" w:w="21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Sustainability reporting obligations; Scope 3 emissions</w:t>
            </w:r>
          </w:p>
        </w:tc>
        <w:tc>
          <w:tcPr>
            <w:tcW w:type="dxa" w:w="288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Prefer efficient inference models; document environmental impact in sustainability reports</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Veracity
(§6.6)</w:t>
            </w:r>
          </w:p>
        </w:tc>
        <w:tc>
          <w:tcPr>
            <w:tcW w:type="dxa" w:w="2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Confabulation; fabricated citations; outdated information; incorrect logic</w:t>
            </w:r>
          </w:p>
        </w:tc>
        <w:tc>
          <w:tcPr>
            <w:tcW w:type="dxa" w:w="2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Hallucinated regulatory references, incorrect standards citations, or fabricated clinical evidence in submissions</w:t>
            </w:r>
          </w:p>
        </w:tc>
        <w:tc>
          <w:tcPr>
            <w:tcW w:type="dxa" w:w="28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Mandatory source verification for any regulatory or clinical content; prefer RAG-grounded systems; log all AI-generated content</w:t>
            </w:r>
          </w:p>
        </w:tc>
      </w:tr>
      <w:tr>
        <w:tc>
          <w:tcPr>
            <w:tcW w:type="dxa" w:w="18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Privacy
(§6.7)</w:t>
            </w:r>
          </w:p>
        </w:tc>
        <w:tc>
          <w:tcPr>
            <w:tcW w:type="dxa" w:w="252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PII leakage via training or inference; data memorisation; re-identification risk</w:t>
            </w:r>
          </w:p>
        </w:tc>
        <w:tc>
          <w:tcPr>
            <w:tcW w:type="dxa" w:w="21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Unintended disclosure of patient data, clinical trial data, or confidential IP via AI platforms</w:t>
            </w:r>
          </w:p>
        </w:tc>
        <w:tc>
          <w:tcPr>
            <w:tcW w:type="dxa" w:w="288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Prohibit entry of PII, PHI, or confidential data into non-approved AI systems; data classification controls; DPIA for new AI tools</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Intellectual Property
(§6.8)</w:t>
            </w:r>
          </w:p>
        </w:tc>
        <w:tc>
          <w:tcPr>
            <w:tcW w:type="dxa" w:w="2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Training data memorisation; copyright infringement; reproduction of third-party IP</w:t>
            </w:r>
          </w:p>
        </w:tc>
        <w:tc>
          <w:tcPr>
            <w:tcW w:type="dxa" w:w="2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Publication of copyrighted material in regulatory submissions; IP litigation risk</w:t>
            </w:r>
          </w:p>
        </w:tc>
        <w:tc>
          <w:tcPr>
            <w:tcW w:type="dxa" w:w="28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AI output review for copyright infringement; IP policy for AI-generated content; legal review of vendor training data practices</w:t>
            </w:r>
          </w:p>
        </w:tc>
      </w:tr>
      <w:tr>
        <w:tc>
          <w:tcPr>
            <w:tcW w:type="dxa" w:w="18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Transparency
(§6.9)</w:t>
            </w:r>
          </w:p>
        </w:tc>
        <w:tc>
          <w:tcPr>
            <w:tcW w:type="dxa" w:w="252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Third-party component opacity; inability to explain AI outputs; lack of AI content labelling</w:t>
            </w:r>
          </w:p>
        </w:tc>
        <w:tc>
          <w:tcPr>
            <w:tcW w:type="dxa" w:w="21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Inability to respond to regulator queries about AI-generated content; untraceable audit trail</w:t>
            </w:r>
          </w:p>
        </w:tc>
        <w:tc>
          <w:tcPr>
            <w:tcW w:type="dxa" w:w="288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Maintain AI use register; label all AI-generated content; require model cards and transparency documentation from vendors</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Fairness
(§6.10)</w:t>
            </w:r>
          </w:p>
        </w:tc>
        <w:tc>
          <w:tcPr>
            <w:tcW w:type="dxa" w:w="2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Harmful bias from training data; homogenisation of outputs; disparate performance across subgroups</w:t>
            </w:r>
          </w:p>
        </w:tc>
        <w:tc>
          <w:tcPr>
            <w:tcW w:type="dxa" w:w="2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Biased clinical or regulatory content; unequal service delivery</w:t>
            </w:r>
          </w:p>
        </w:tc>
        <w:tc>
          <w:tcPr>
            <w:tcW w:type="dxa" w:w="288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Bias impact assessment before deployment; monitor outputs for fairness; diverse validation datasets</w:t>
            </w:r>
          </w:p>
        </w:tc>
      </w:tr>
      <w:tr>
        <w:tc>
          <w:tcPr>
            <w:tcW w:type="dxa" w:w="18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Security
(§6.11)</w:t>
            </w:r>
          </w:p>
        </w:tc>
        <w:tc>
          <w:tcPr>
            <w:tcW w:type="dxa" w:w="252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Prompt injection; data poisoning; model inversion; cybersecurity attacks; sensitive data exfiltration</w:t>
            </w:r>
          </w:p>
        </w:tc>
        <w:tc>
          <w:tcPr>
            <w:tcW w:type="dxa" w:w="216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Manipulation of AI-assisted regulatory submissions; confidential data breach; malware generation</w:t>
            </w:r>
          </w:p>
        </w:tc>
        <w:tc>
          <w:tcPr>
            <w:tcW w:type="dxa" w:w="288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Restrict AI access to approved systems only; implement prompt-injection controls; penetration testing; incident response plan for AI security events</w:t>
            </w:r>
          </w:p>
        </w:tc>
      </w:tr>
    </w:tbl>
    <w:p>
      <w:pPr>
        <w:spacing w:after="80"/>
      </w:pPr>
      <w:r>
        <w:t xml:space="preserve"/>
      </w:r>
    </w:p>
    <w:p>
      <w:pPr>
        <w:pStyle w:val="Heading2"/>
        <w:spacing w:after="120" w:before="280"/>
      </w:pPr>
      <w:r>
        <w:rPr>
          <w:rFonts w:ascii="Arial" w:cs="Arial" w:eastAsia="Arial" w:hAnsi="Arial"/>
          <w:b/>
          <w:bCs/>
          <w:color w:val="0D7A77"/>
          <w:sz w:val="26"/>
          <w:szCs w:val="26"/>
        </w:rPr>
        <w:t xml:space="preserve">5.2 Risk Sources by Lifecycle Stage</w:t>
      </w:r>
    </w:p>
    <w:p>
      <w:pPr>
        <w:spacing w:after="120"/>
      </w:pPr>
      <w:r>
        <w:rPr>
          <w:rFonts w:ascii="Arial" w:cs="Arial" w:eastAsia="Arial" w:hAnsi="Arial"/>
          <w:b w:val="false"/>
          <w:bCs w:val="false"/>
          <w:color w:val="1A1A1A"/>
          <w:sz w:val="22"/>
          <w:szCs w:val="22"/>
        </w:rPr>
        <w:t xml:space="preserve">ISO/IEC CD TS 25568 §7 identifies risk sources across the AI system lifecycle. Life science organisations acting as AI deployers should ensure their procurement and change management processes address risks at each stage:</w:t>
      </w:r>
    </w:p>
    <w:p>
      <w:pPr>
        <w:spacing w:after="80"/>
      </w:pPr>
      <w:r>
        <w:t xml:space="preserve"/>
      </w:r>
    </w:p>
    <w:p>
      <w:pPr>
        <w:pStyle w:val="ListParagraph"/>
        <w:numPr>
          <w:ilvl w:val="0"/>
          <w:numId w:val="2"/>
        </w:numPr>
      </w:pPr>
      <w:r>
        <w:rPr>
          <w:rFonts w:ascii="Arial" w:cs="Arial" w:eastAsia="Arial" w:hAnsi="Arial"/>
          <w:color w:val="1A1A1A"/>
          <w:sz w:val="22"/>
          <w:szCs w:val="22"/>
        </w:rPr>
        <w:t xml:space="preserve">Inception (§7.2) — Inadequate accountability allocation across the value chain. Require clear contractual accountability from AI vendors.</w:t>
      </w:r>
    </w:p>
    <w:p>
      <w:pPr>
        <w:pStyle w:val="ListParagraph"/>
        <w:numPr>
          <w:ilvl w:val="0"/>
          <w:numId w:val="2"/>
        </w:numPr>
      </w:pPr>
      <w:r>
        <w:rPr>
          <w:rFonts w:ascii="Arial" w:cs="Arial" w:eastAsia="Arial" w:hAnsi="Arial"/>
          <w:color w:val="1A1A1A"/>
          <w:sz w:val="22"/>
          <w:szCs w:val="22"/>
        </w:rPr>
        <w:t xml:space="preserve">Design and Development (§7.3) — Training data quality, bias amplification, inappropriate reinforcement learning from human feedback. Require model cards and training data disclosure.</w:t>
      </w:r>
    </w:p>
    <w:p>
      <w:pPr>
        <w:pStyle w:val="ListParagraph"/>
        <w:numPr>
          <w:ilvl w:val="0"/>
          <w:numId w:val="2"/>
        </w:numPr>
      </w:pPr>
      <w:r>
        <w:rPr>
          <w:rFonts w:ascii="Arial" w:cs="Arial" w:eastAsia="Arial" w:hAnsi="Arial"/>
          <w:color w:val="1A1A1A"/>
          <w:sz w:val="22"/>
          <w:szCs w:val="22"/>
        </w:rPr>
        <w:t xml:space="preserve">Verification and Validation (§7.4) — GenAI cannot be exhaustively tested. Apply risk-proportionate testing with expanded edge-case coverage.</w:t>
      </w:r>
    </w:p>
    <w:p>
      <w:pPr>
        <w:pStyle w:val="ListParagraph"/>
        <w:numPr>
          <w:ilvl w:val="0"/>
          <w:numId w:val="2"/>
        </w:numPr>
      </w:pPr>
      <w:r>
        <w:rPr>
          <w:rFonts w:ascii="Arial" w:cs="Arial" w:eastAsia="Arial" w:hAnsi="Arial"/>
          <w:color w:val="1A1A1A"/>
          <w:sz w:val="22"/>
          <w:szCs w:val="22"/>
        </w:rPr>
        <w:t xml:space="preserve">Deployment (§7.5) — Insecure deployment environments; unprotected model weights. Follow QMS change control for AI system deployments.</w:t>
      </w:r>
    </w:p>
    <w:p>
      <w:pPr>
        <w:pStyle w:val="ListParagraph"/>
        <w:numPr>
          <w:ilvl w:val="0"/>
          <w:numId w:val="2"/>
        </w:numPr>
      </w:pPr>
      <w:r>
        <w:rPr>
          <w:rFonts w:ascii="Arial" w:cs="Arial" w:eastAsia="Arial" w:hAnsi="Arial"/>
          <w:color w:val="1A1A1A"/>
          <w:sz w:val="22"/>
          <w:szCs w:val="22"/>
        </w:rPr>
        <w:t xml:space="preserve">Operation and Monitoring (§7.6) — Prompt injection; runtime data integrity; confabulated outputs; malicious use; lack of transparency. Implement continuous monitoring and logging.</w:t>
      </w:r>
    </w:p>
    <w:p>
      <w:pPr>
        <w:pStyle w:val="ListParagraph"/>
        <w:numPr>
          <w:ilvl w:val="0"/>
          <w:numId w:val="2"/>
        </w:numPr>
      </w:pPr>
      <w:r>
        <w:rPr>
          <w:rFonts w:ascii="Arial" w:cs="Arial" w:eastAsia="Arial" w:hAnsi="Arial"/>
          <w:color w:val="1A1A1A"/>
          <w:sz w:val="22"/>
          <w:szCs w:val="22"/>
        </w:rPr>
        <w:t xml:space="preserve">Continuous Validation and Re-evaluation (§7.7–7.8) — Inadequate update management; insufficient post-market surveillance for AI drift.</w:t>
      </w:r>
    </w:p>
    <w:p>
      <w:pPr>
        <w:pStyle w:val="ListParagraph"/>
        <w:numPr>
          <w:ilvl w:val="0"/>
          <w:numId w:val="2"/>
        </w:numPr>
      </w:pPr>
      <w:r>
        <w:rPr>
          <w:rFonts w:ascii="Arial" w:cs="Arial" w:eastAsia="Arial" w:hAnsi="Arial"/>
          <w:color w:val="1A1A1A"/>
          <w:sz w:val="22"/>
          <w:szCs w:val="22"/>
        </w:rPr>
        <w:t xml:space="preserve">Retirement (§7.9) — Unthorough disposal of model weights and training data. Include AI systems in data disposal procedures.</w:t>
      </w:r>
    </w:p>
    <w:p>
      <w:pPr>
        <w:spacing w:after="80"/>
      </w:pPr>
      <w:r>
        <w:t xml:space="preserve"/>
      </w:r>
    </w:p>
    <w:p>
      <w:pPr>
        <w:pStyle w:val="Heading1"/>
        <w:pBdr>
          <w:bottom w:val="single" w:color="0D7A77" w:sz="6" w:space="4"/>
        </w:pBdr>
        <w:spacing w:after="180" w:before="360"/>
      </w:pPr>
      <w:r>
        <w:rPr>
          <w:rFonts w:ascii="Arial" w:cs="Arial" w:eastAsia="Arial" w:hAnsi="Arial"/>
          <w:b/>
          <w:bCs/>
          <w:color w:val="1B3A6B"/>
          <w:sz w:val="32"/>
          <w:szCs w:val="32"/>
        </w:rPr>
        <w:t xml:space="preserve">6. Requirements</w:t>
      </w:r>
    </w:p>
    <w:p>
      <w:pPr>
        <w:pStyle w:val="Heading2"/>
        <w:spacing w:after="120" w:before="280"/>
      </w:pPr>
      <w:r>
        <w:rPr>
          <w:rFonts w:ascii="Arial" w:cs="Arial" w:eastAsia="Arial" w:hAnsi="Arial"/>
          <w:b/>
          <w:bCs/>
          <w:color w:val="0D7A77"/>
          <w:sz w:val="26"/>
          <w:szCs w:val="26"/>
        </w:rPr>
        <w:t xml:space="preserve">6.1 AI Use Registration</w:t>
      </w:r>
    </w:p>
    <w:p>
      <w:pPr>
        <w:spacing w:after="120"/>
      </w:pPr>
      <w:r>
        <w:rPr>
          <w:rFonts w:ascii="Arial" w:cs="Arial" w:eastAsia="Arial" w:hAnsi="Arial"/>
          <w:b w:val="false"/>
          <w:bCs w:val="false"/>
          <w:color w:val="1A1A1A"/>
          <w:sz w:val="22"/>
          <w:szCs w:val="22"/>
        </w:rPr>
        <w:t xml:space="preserve">All use of GenAI systems in the organisation shall be registered in the AI Use Register prior to operational deployment. The register shall capture:</w:t>
      </w:r>
    </w:p>
    <w:p>
      <w:pPr>
        <w:pStyle w:val="ListParagraph"/>
        <w:numPr>
          <w:ilvl w:val="0"/>
          <w:numId w:val="2"/>
        </w:numPr>
      </w:pPr>
      <w:r>
        <w:rPr>
          <w:rFonts w:ascii="Arial" w:cs="Arial" w:eastAsia="Arial" w:hAnsi="Arial"/>
          <w:color w:val="1A1A1A"/>
          <w:sz w:val="22"/>
          <w:szCs w:val="22"/>
        </w:rPr>
        <w:t xml:space="preserve">System name, vendor, version, and deployment type (cloud/on-premise)</w:t>
      </w:r>
    </w:p>
    <w:p>
      <w:pPr>
        <w:pStyle w:val="ListParagraph"/>
        <w:numPr>
          <w:ilvl w:val="0"/>
          <w:numId w:val="2"/>
        </w:numPr>
      </w:pPr>
      <w:r>
        <w:rPr>
          <w:rFonts w:ascii="Arial" w:cs="Arial" w:eastAsia="Arial" w:hAnsi="Arial"/>
          <w:color w:val="1A1A1A"/>
          <w:sz w:val="22"/>
          <w:szCs w:val="22"/>
        </w:rPr>
        <w:t xml:space="preserve">Business function and use case description</w:t>
      </w:r>
    </w:p>
    <w:p>
      <w:pPr>
        <w:pStyle w:val="ListParagraph"/>
        <w:numPr>
          <w:ilvl w:val="0"/>
          <w:numId w:val="2"/>
        </w:numPr>
      </w:pPr>
      <w:r>
        <w:rPr>
          <w:rFonts w:ascii="Arial" w:cs="Arial" w:eastAsia="Arial" w:hAnsi="Arial"/>
          <w:color w:val="1A1A1A"/>
          <w:sz w:val="22"/>
          <w:szCs w:val="22"/>
        </w:rPr>
        <w:t xml:space="preserve">Risk classification (see §6.2)</w:t>
      </w:r>
    </w:p>
    <w:p>
      <w:pPr>
        <w:pStyle w:val="ListParagraph"/>
        <w:numPr>
          <w:ilvl w:val="0"/>
          <w:numId w:val="2"/>
        </w:numPr>
      </w:pPr>
      <w:r>
        <w:rPr>
          <w:rFonts w:ascii="Arial" w:cs="Arial" w:eastAsia="Arial" w:hAnsi="Arial"/>
          <w:color w:val="1A1A1A"/>
          <w:sz w:val="22"/>
          <w:szCs w:val="22"/>
        </w:rPr>
        <w:t xml:space="preserve">Data types processed (including whether PII or PHI is involved)</w:t>
      </w:r>
    </w:p>
    <w:p>
      <w:pPr>
        <w:pStyle w:val="ListParagraph"/>
        <w:numPr>
          <w:ilvl w:val="0"/>
          <w:numId w:val="2"/>
        </w:numPr>
      </w:pPr>
      <w:r>
        <w:rPr>
          <w:rFonts w:ascii="Arial" w:cs="Arial" w:eastAsia="Arial" w:hAnsi="Arial"/>
          <w:color w:val="1A1A1A"/>
          <w:sz w:val="22"/>
          <w:szCs w:val="22"/>
        </w:rPr>
        <w:t xml:space="preserve">Human oversight mechanism and responsible reviewer</w:t>
      </w:r>
    </w:p>
    <w:p>
      <w:pPr>
        <w:pStyle w:val="ListParagraph"/>
        <w:numPr>
          <w:ilvl w:val="0"/>
          <w:numId w:val="2"/>
        </w:numPr>
      </w:pPr>
      <w:r>
        <w:rPr>
          <w:rFonts w:ascii="Arial" w:cs="Arial" w:eastAsia="Arial" w:hAnsi="Arial"/>
          <w:color w:val="1A1A1A"/>
          <w:sz w:val="22"/>
          <w:szCs w:val="22"/>
        </w:rPr>
        <w:t xml:space="preserve">Approval status and date</w:t>
      </w:r>
    </w:p>
    <w:p>
      <w:pPr>
        <w:pStyle w:val="ListParagraph"/>
        <w:numPr>
          <w:ilvl w:val="0"/>
          <w:numId w:val="2"/>
        </w:numPr>
      </w:pPr>
      <w:r>
        <w:rPr>
          <w:rFonts w:ascii="Arial" w:cs="Arial" w:eastAsia="Arial" w:hAnsi="Arial"/>
          <w:color w:val="1A1A1A"/>
          <w:sz w:val="22"/>
          <w:szCs w:val="22"/>
        </w:rPr>
        <w:t xml:space="preserve">Review date and next scheduled re-assessment</w:t>
      </w:r>
    </w:p>
    <w:p>
      <w:pPr>
        <w:spacing w:after="80"/>
      </w:pPr>
      <w:r>
        <w:t xml:space="preserve"/>
      </w:r>
    </w:p>
    <w:p>
      <w:pPr>
        <w:pStyle w:val="Heading2"/>
        <w:spacing w:after="120" w:before="280"/>
      </w:pPr>
      <w:r>
        <w:rPr>
          <w:rFonts w:ascii="Arial" w:cs="Arial" w:eastAsia="Arial" w:hAnsi="Arial"/>
          <w:b/>
          <w:bCs/>
          <w:color w:val="0D7A77"/>
          <w:sz w:val="26"/>
          <w:szCs w:val="26"/>
        </w:rPr>
        <w:t xml:space="preserve">6.2 Risk Classification</w:t>
      </w:r>
    </w:p>
    <w:p>
      <w:pPr>
        <w:spacing w:after="120"/>
      </w:pPr>
      <w:r>
        <w:rPr>
          <w:rFonts w:ascii="Arial" w:cs="Arial" w:eastAsia="Arial" w:hAnsi="Arial"/>
          <w:b w:val="false"/>
          <w:bCs w:val="false"/>
          <w:color w:val="1A1A1A"/>
          <w:sz w:val="22"/>
          <w:szCs w:val="22"/>
        </w:rPr>
        <w:t xml:space="preserve">Prior to deployment, each GenAI use case shall be classified according to the following risk tiers, aligned with EU AI Act Annex III and ISO/IEC CD TS 25568 risk principles: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3000"/>
        <w:gridCol w:w="4920"/>
      </w:tblGrid>
      <w:tr>
        <w:trPr>
          <w:tblHeader/>
        </w:trPr>
        <w:tc>
          <w:tcPr>
            <w:tcW w:type="dxa" w:w="144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Tier</w:t>
            </w:r>
          </w:p>
        </w:tc>
        <w:tc>
          <w:tcPr>
            <w:tcW w:type="dxa" w:w="300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Criteria</w:t>
            </w:r>
          </w:p>
        </w:tc>
        <w:tc>
          <w:tcPr>
            <w:tcW w:type="dxa" w:w="492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Requirements</w:t>
            </w:r>
          </w:p>
        </w:tc>
      </w:tr>
      <w:tr>
        <w:tc>
          <w:tcPr>
            <w:tcW w:type="dxa" w:w="144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Critical (Red)</w:t>
            </w:r>
          </w:p>
        </w:tc>
        <w:tc>
          <w:tcPr>
            <w:tcW w:type="dxa" w:w="3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Direct impact on patient safety, product quality, or regulatory submission content; SaMD/AIeMD; clinical decision support</w:t>
            </w:r>
          </w:p>
        </w:tc>
        <w:tc>
          <w:tcPr>
            <w:tcW w:type="dxa" w:w="4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Prohibited without explicit QMS change control, validation, and senior management approval. Human expert sign-off mandatory for all outputs. Continuous monitoring required.</w:t>
            </w:r>
          </w:p>
        </w:tc>
      </w:tr>
      <w:tr>
        <w:tc>
          <w:tcPr>
            <w:tcW w:type="dxa" w:w="144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High (Amber)</w:t>
            </w:r>
          </w:p>
        </w:tc>
        <w:tc>
          <w:tcPr>
            <w:tcW w:type="dxa" w:w="30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Input to regulated processes (e.g. draft SOPs, technical documentation, labelling); significant data privacy implications</w:t>
            </w:r>
          </w:p>
        </w:tc>
        <w:tc>
          <w:tcPr>
            <w:tcW w:type="dxa" w:w="492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Risk assessment required prior to use. Qualified reviewer must verify all AI-generated content before use. Logged usage. Quarterly monitoring review.</w:t>
            </w:r>
          </w:p>
        </w:tc>
      </w:tr>
      <w:tr>
        <w:tc>
          <w:tcPr>
            <w:tcW w:type="dxa" w:w="144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Medium (Yellow)</w:t>
            </w:r>
          </w:p>
        </w:tc>
        <w:tc>
          <w:tcPr>
            <w:tcW w:type="dxa" w:w="3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Internal business processes with indirect quality impact (e.g. draft reports, literature summaries, meeting minutes)</w:t>
            </w:r>
          </w:p>
        </w:tc>
        <w:tc>
          <w:tcPr>
            <w:tcW w:type="dxa" w:w="4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Standard AI use registration. Reviewer must confirm factual accuracy of outputs. Annual review.</w:t>
            </w:r>
          </w:p>
        </w:tc>
      </w:tr>
      <w:tr>
        <w:tc>
          <w:tcPr>
            <w:tcW w:type="dxa" w:w="144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Low (Green)</w:t>
            </w:r>
          </w:p>
        </w:tc>
        <w:tc>
          <w:tcPr>
            <w:tcW w:type="dxa" w:w="300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Administrative, creative, or general productivity use with no direct quality or safety impact</w:t>
            </w:r>
          </w:p>
        </w:tc>
        <w:tc>
          <w:tcPr>
            <w:tcW w:type="dxa" w:w="4920"/>
            <w:tcBorders>
              <w:top w:val="single" w:color="DDDDDD" w:sz="1"/>
              <w:left w:val="single" w:color="DDDDDD" w:sz="1"/>
              <w:bottom w:val="single" w:color="DDDDDD" w:sz="1"/>
              <w:right w:val="single" w:color="DDDDDD" w:sz="1"/>
            </w:tcBorders>
            <w:shd w:fill="F2F2F2" w:val="clear"/>
            <w:tcMar>
              <w:top w:type="dxa" w:w="80"/>
              <w:left w:type="dxa" w:w="120"/>
              <w:bottom w:type="dxa" w:w="80"/>
              <w:right w:type="dxa" w:w="120"/>
            </w:tcMar>
          </w:tcPr>
          <w:p>
            <w:r>
              <w:rPr>
                <w:rFonts w:ascii="Arial" w:cs="Arial" w:eastAsia="Arial" w:hAnsi="Arial"/>
                <w:color w:val="1A1A1A"/>
                <w:sz w:val="20"/>
                <w:szCs w:val="20"/>
              </w:rPr>
              <w:t xml:space="preserve">Registration required. General AI literacy training sufficient. Annual review.</w:t>
            </w:r>
          </w:p>
        </w:tc>
      </w:tr>
    </w:tbl>
    <w:p>
      <w:pPr>
        <w:spacing w:after="80"/>
      </w:pPr>
      <w:r>
        <w:t xml:space="preserve"/>
      </w:r>
    </w:p>
    <w:p>
      <w:pPr>
        <w:pStyle w:val="Heading2"/>
        <w:spacing w:after="120" w:before="280"/>
      </w:pPr>
      <w:r>
        <w:rPr>
          <w:rFonts w:ascii="Arial" w:cs="Arial" w:eastAsia="Arial" w:hAnsi="Arial"/>
          <w:b/>
          <w:bCs/>
          <w:color w:val="0D7A77"/>
          <w:sz w:val="26"/>
          <w:szCs w:val="26"/>
        </w:rPr>
        <w:t xml:space="preserve">6.3 Human Oversight Requirements</w:t>
      </w:r>
    </w:p>
    <w:p>
      <w:pPr>
        <w:spacing w:after="120"/>
      </w:pPr>
      <w:r>
        <w:rPr>
          <w:rFonts w:ascii="Arial" w:cs="Arial" w:eastAsia="Arial" w:hAnsi="Arial"/>
          <w:b w:val="false"/>
          <w:bCs w:val="false"/>
          <w:color w:val="1A1A1A"/>
          <w:sz w:val="22"/>
          <w:szCs w:val="22"/>
        </w:rPr>
        <w:t xml:space="preserve">In accordance with ISO/IEC CD TS 25568 §6.3 and §8.5, human oversight is a non-negotiable requirement for all GenAI use in regulated contexts. The following minimum standards apply:</w:t>
      </w:r>
    </w:p>
    <w:p>
      <w:pPr>
        <w:spacing w:after="80"/>
      </w:pPr>
      <w:r>
        <w:t xml:space="preserve"/>
      </w:r>
    </w:p>
    <w:p>
      <w:pPr>
        <w:pStyle w:val="ListParagraph"/>
        <w:numPr>
          <w:ilvl w:val="0"/>
          <w:numId w:val="2"/>
        </w:numPr>
      </w:pPr>
      <w:r>
        <w:rPr>
          <w:rFonts w:ascii="Arial" w:cs="Arial" w:eastAsia="Arial" w:hAnsi="Arial"/>
          <w:color w:val="1A1A1A"/>
          <w:sz w:val="22"/>
          <w:szCs w:val="22"/>
        </w:rPr>
        <w:t xml:space="preserve">No GenAI output shall be submitted, published, or used to make a regulated decision without review and approval by a qualified human reviewer.</w:t>
      </w:r>
    </w:p>
    <w:p>
      <w:pPr>
        <w:pStyle w:val="ListParagraph"/>
        <w:numPr>
          <w:ilvl w:val="0"/>
          <w:numId w:val="2"/>
        </w:numPr>
      </w:pPr>
      <w:r>
        <w:rPr>
          <w:rFonts w:ascii="Arial" w:cs="Arial" w:eastAsia="Arial" w:hAnsi="Arial"/>
          <w:color w:val="1A1A1A"/>
          <w:sz w:val="22"/>
          <w:szCs w:val="22"/>
        </w:rPr>
        <w:t xml:space="preserve">Reviewers shall be trained in AI literacy and the specific risk profile of the GenAI system in use.</w:t>
      </w:r>
    </w:p>
    <w:p>
      <w:pPr>
        <w:pStyle w:val="ListParagraph"/>
        <w:numPr>
          <w:ilvl w:val="0"/>
          <w:numId w:val="2"/>
        </w:numPr>
      </w:pPr>
      <w:r>
        <w:rPr>
          <w:rFonts w:ascii="Arial" w:cs="Arial" w:eastAsia="Arial" w:hAnsi="Arial"/>
          <w:color w:val="1A1A1A"/>
          <w:sz w:val="22"/>
          <w:szCs w:val="22"/>
        </w:rPr>
        <w:t xml:space="preserve">Reviewers shall actively verify factual claims, citations, and calculations — not merely read for plausibility.</w:t>
      </w:r>
    </w:p>
    <w:p>
      <w:pPr>
        <w:pStyle w:val="ListParagraph"/>
        <w:numPr>
          <w:ilvl w:val="0"/>
          <w:numId w:val="2"/>
        </w:numPr>
      </w:pPr>
      <w:r>
        <w:rPr>
          <w:rFonts w:ascii="Arial" w:cs="Arial" w:eastAsia="Arial" w:hAnsi="Arial"/>
          <w:color w:val="1A1A1A"/>
          <w:sz w:val="22"/>
          <w:szCs w:val="22"/>
        </w:rPr>
        <w:t xml:space="preserve">The identity of the reviewer and date of review shall be documented and traceable.</w:t>
      </w:r>
    </w:p>
    <w:p>
      <w:pPr>
        <w:pStyle w:val="ListParagraph"/>
        <w:numPr>
          <w:ilvl w:val="0"/>
          <w:numId w:val="2"/>
        </w:numPr>
      </w:pPr>
      <w:r>
        <w:rPr>
          <w:rFonts w:ascii="Arial" w:cs="Arial" w:eastAsia="Arial" w:hAnsi="Arial"/>
          <w:color w:val="1A1A1A"/>
          <w:sz w:val="22"/>
          <w:szCs w:val="22"/>
        </w:rPr>
        <w:t xml:space="preserve">Organisations shall guard against automation bias: reviewers must be empowered and expected to reject or modify AI outputs.</w:t>
      </w:r>
    </w:p>
    <w:p>
      <w:pPr>
        <w:pStyle w:val="ListParagraph"/>
        <w:numPr>
          <w:ilvl w:val="0"/>
          <w:numId w:val="2"/>
        </w:numPr>
      </w:pPr>
      <w:r>
        <w:rPr>
          <w:rFonts w:ascii="Arial" w:cs="Arial" w:eastAsia="Arial" w:hAnsi="Arial"/>
          <w:color w:val="1A1A1A"/>
          <w:sz w:val="22"/>
          <w:szCs w:val="22"/>
        </w:rPr>
        <w:t xml:space="preserve">For Critical (Red) tier applications, review shall be conducted by an independent qualified reviewer in addition to the primary user.</w:t>
      </w:r>
    </w:p>
    <w:p>
      <w:pPr>
        <w:spacing w:after="80"/>
      </w:pPr>
      <w:r>
        <w:t xml:space="preserve"/>
      </w:r>
    </w:p>
    <w:p>
      <w:pPr>
        <w:pBdr>
          <w:left w:val="single" w:color="0D7A77" w:sz="12" w:space="6"/>
        </w:pBdr>
        <w:shd w:fill="E8F4F4" w:val="clear"/>
        <w:spacing w:after="120" w:before="120"/>
        <w:ind w:left="360" w:right="360"/>
      </w:pPr>
      <w:r>
        <w:rPr>
          <w:rFonts w:ascii="Arial" w:cs="Arial" w:eastAsia="Arial" w:hAnsi="Arial"/>
          <w:b/>
          <w:bCs/>
          <w:color w:val="0D7A77"/>
          <w:sz w:val="22"/>
          <w:szCs w:val="22"/>
        </w:rPr>
        <w:t xml:space="preserve">ISO/IEC CD TS 25568 §6.3.2: </w:t>
      </w:r>
      <w:r>
        <w:rPr>
          <w:rFonts w:ascii="Arial" w:cs="Arial" w:eastAsia="Arial" w:hAnsi="Arial"/>
          <w:color w:val="1A1A1A"/>
          <w:sz w:val="22"/>
          <w:szCs w:val="22"/>
        </w:rPr>
        <w:t xml:space="preserve">Due to the complexity and increasing reliability of GenAI technology, over time, humans can over-rely on GenAI systems or perceive GenAI content to be of higher quality than that produced by other sources — a manifestation of automation bias. Organisations must actively counteract this through training, procedures, and cultural norms.</w:t>
      </w:r>
    </w:p>
    <w:p>
      <w:pPr>
        <w:spacing w:after="80"/>
      </w:pPr>
      <w:r>
        <w:t xml:space="preserve"/>
      </w:r>
    </w:p>
    <w:p>
      <w:pPr>
        <w:pStyle w:val="Heading2"/>
        <w:spacing w:after="120" w:before="280"/>
      </w:pPr>
      <w:r>
        <w:rPr>
          <w:rFonts w:ascii="Arial" w:cs="Arial" w:eastAsia="Arial" w:hAnsi="Arial"/>
          <w:b/>
          <w:bCs/>
          <w:color w:val="0D7A77"/>
          <w:sz w:val="26"/>
          <w:szCs w:val="26"/>
        </w:rPr>
        <w:t xml:space="preserve">6.4 Confabulation Controls</w:t>
      </w:r>
    </w:p>
    <w:p>
      <w:pPr>
        <w:spacing w:after="120"/>
      </w:pPr>
      <w:r>
        <w:rPr>
          <w:rFonts w:ascii="Arial" w:cs="Arial" w:eastAsia="Arial" w:hAnsi="Arial"/>
          <w:b w:val="false"/>
          <w:bCs w:val="false"/>
          <w:color w:val="1A1A1A"/>
          <w:sz w:val="22"/>
          <w:szCs w:val="22"/>
        </w:rPr>
        <w:t xml:space="preserve">Confabulation (hallucination) is an inherent property of all current GenAI systems. ISO/IEC CD TS 25568 §6.6.2 notes that GenAI systems generate outputs that approximate statistical patterns in training data, not verified facts. The following controls are mandatory:</w:t>
      </w:r>
    </w:p>
    <w:p>
      <w:pPr>
        <w:spacing w:after="80"/>
      </w:pPr>
      <w:r>
        <w:t xml:space="preserve"/>
      </w:r>
    </w:p>
    <w:p>
      <w:pPr>
        <w:pStyle w:val="ListParagraph"/>
        <w:numPr>
          <w:ilvl w:val="0"/>
          <w:numId w:val="2"/>
        </w:numPr>
      </w:pPr>
      <w:r>
        <w:rPr>
          <w:rFonts w:ascii="Arial" w:cs="Arial" w:eastAsia="Arial" w:hAnsi="Arial"/>
          <w:color w:val="1A1A1A"/>
          <w:sz w:val="22"/>
          <w:szCs w:val="22"/>
        </w:rPr>
        <w:t xml:space="preserve">All factual claims, numerical data, standards references, regulatory citations, and clinical information generated by AI shall be independently verified against primary sources before use.</w:t>
      </w:r>
    </w:p>
    <w:p>
      <w:pPr>
        <w:pStyle w:val="ListParagraph"/>
        <w:numPr>
          <w:ilvl w:val="0"/>
          <w:numId w:val="2"/>
        </w:numPr>
      </w:pPr>
      <w:r>
        <w:rPr>
          <w:rFonts w:ascii="Arial" w:cs="Arial" w:eastAsia="Arial" w:hAnsi="Arial"/>
          <w:color w:val="1A1A1A"/>
          <w:sz w:val="22"/>
          <w:szCs w:val="22"/>
        </w:rPr>
        <w:t xml:space="preserve">AI outputs shall never be treated as authoritative without verification.</w:t>
      </w:r>
    </w:p>
    <w:p>
      <w:pPr>
        <w:pStyle w:val="ListParagraph"/>
        <w:numPr>
          <w:ilvl w:val="0"/>
          <w:numId w:val="2"/>
        </w:numPr>
      </w:pPr>
      <w:r>
        <w:rPr>
          <w:rFonts w:ascii="Arial" w:cs="Arial" w:eastAsia="Arial" w:hAnsi="Arial"/>
          <w:color w:val="1A1A1A"/>
          <w:sz w:val="22"/>
          <w:szCs w:val="22"/>
        </w:rPr>
        <w:t xml:space="preserve">For regulatory submissions, SOPs, and technical documentation, all AI-generated content shall be clearly identified and subject to documented review.</w:t>
      </w:r>
    </w:p>
    <w:p>
      <w:pPr>
        <w:pStyle w:val="ListParagraph"/>
        <w:numPr>
          <w:ilvl w:val="0"/>
          <w:numId w:val="2"/>
        </w:numPr>
      </w:pPr>
      <w:r>
        <w:rPr>
          <w:rFonts w:ascii="Arial" w:cs="Arial" w:eastAsia="Arial" w:hAnsi="Arial"/>
          <w:color w:val="1A1A1A"/>
          <w:sz w:val="22"/>
          <w:szCs w:val="22"/>
        </w:rPr>
        <w:t xml:space="preserve">Where available, prefer RAG-grounded GenAI systems that cite retrievable sources, but note that RAG does not eliminate confabulation risk.</w:t>
      </w:r>
    </w:p>
    <w:p>
      <w:pPr>
        <w:pStyle w:val="ListParagraph"/>
        <w:numPr>
          <w:ilvl w:val="0"/>
          <w:numId w:val="2"/>
        </w:numPr>
      </w:pPr>
      <w:r>
        <w:rPr>
          <w:rFonts w:ascii="Arial" w:cs="Arial" w:eastAsia="Arial" w:hAnsi="Arial"/>
          <w:color w:val="1A1A1A"/>
          <w:sz w:val="22"/>
          <w:szCs w:val="22"/>
        </w:rPr>
        <w:t xml:space="preserve">Maintain logs of AI-generated content in regulated documents to support auditability (§8.13 ISO/IEC CD TS 25568).</w:t>
      </w:r>
    </w:p>
    <w:p>
      <w:pPr>
        <w:spacing w:after="80"/>
      </w:pPr>
      <w:r>
        <w:t xml:space="preserve"/>
      </w:r>
    </w:p>
    <w:p>
      <w:pPr>
        <w:pStyle w:val="Heading2"/>
        <w:spacing w:after="120" w:before="280"/>
      </w:pPr>
      <w:r>
        <w:rPr>
          <w:rFonts w:ascii="Arial" w:cs="Arial" w:eastAsia="Arial" w:hAnsi="Arial"/>
          <w:b/>
          <w:bCs/>
          <w:color w:val="0D7A77"/>
          <w:sz w:val="26"/>
          <w:szCs w:val="26"/>
        </w:rPr>
        <w:t xml:space="preserve">6.5 Data Privacy and Confidentiality</w:t>
      </w:r>
    </w:p>
    <w:p>
      <w:pPr>
        <w:spacing w:after="120"/>
      </w:pPr>
      <w:r>
        <w:rPr>
          <w:rFonts w:ascii="Arial" w:cs="Arial" w:eastAsia="Arial" w:hAnsi="Arial"/>
          <w:b w:val="false"/>
          <w:bCs w:val="false"/>
          <w:color w:val="1A1A1A"/>
          <w:sz w:val="22"/>
          <w:szCs w:val="22"/>
        </w:rPr>
        <w:t xml:space="preserve">In accordance with ISO/IEC CD TS 25568 §6.7, the following requirements apply to data input into GenAI systems:</w:t>
      </w:r>
    </w:p>
    <w:p>
      <w:pPr>
        <w:spacing w:after="80"/>
      </w:pPr>
      <w:r>
        <w:t xml:space="preserve"/>
      </w:r>
    </w:p>
    <w:p>
      <w:pPr>
        <w:pStyle w:val="ListParagraph"/>
        <w:numPr>
          <w:ilvl w:val="0"/>
          <w:numId w:val="2"/>
        </w:numPr>
      </w:pPr>
      <w:r>
        <w:rPr>
          <w:rFonts w:ascii="Arial" w:cs="Arial" w:eastAsia="Arial" w:hAnsi="Arial"/>
          <w:color w:val="1A1A1A"/>
          <w:sz w:val="22"/>
          <w:szCs w:val="22"/>
        </w:rPr>
        <w:t xml:space="preserve">Personally Identifiable Information (PII) and Protected Health Information (PHI) shall not be entered into any GenAI system unless the system has been specifically approved and validated for such use, with appropriate data processing agreements in place.</w:t>
      </w:r>
    </w:p>
    <w:p>
      <w:pPr>
        <w:pStyle w:val="ListParagraph"/>
        <w:numPr>
          <w:ilvl w:val="0"/>
          <w:numId w:val="2"/>
        </w:numPr>
      </w:pPr>
      <w:r>
        <w:rPr>
          <w:rFonts w:ascii="Arial" w:cs="Arial" w:eastAsia="Arial" w:hAnsi="Arial"/>
          <w:color w:val="1A1A1A"/>
          <w:sz w:val="22"/>
          <w:szCs w:val="22"/>
        </w:rPr>
        <w:t xml:space="preserve">Confidential business information, unpublished research data, trade secrets, and patient data shall only be processed by GenAI systems approved under the AI Use Register for such use cases.</w:t>
      </w:r>
    </w:p>
    <w:p>
      <w:pPr>
        <w:pStyle w:val="ListParagraph"/>
        <w:numPr>
          <w:ilvl w:val="0"/>
          <w:numId w:val="2"/>
        </w:numPr>
      </w:pPr>
      <w:r>
        <w:rPr>
          <w:rFonts w:ascii="Arial" w:cs="Arial" w:eastAsia="Arial" w:hAnsi="Arial"/>
          <w:color w:val="1A1A1A"/>
          <w:sz w:val="22"/>
          <w:szCs w:val="22"/>
        </w:rPr>
        <w:t xml:space="preserve">A Data Protection Impact Assessment (DPIA) shall be conducted for any GenAI use case involving personal data, in accordance with GDPR and applicable national data protection law.</w:t>
      </w:r>
    </w:p>
    <w:p>
      <w:pPr>
        <w:pStyle w:val="ListParagraph"/>
        <w:numPr>
          <w:ilvl w:val="0"/>
          <w:numId w:val="2"/>
        </w:numPr>
      </w:pPr>
      <w:r>
        <w:rPr>
          <w:rFonts w:ascii="Arial" w:cs="Arial" w:eastAsia="Arial" w:hAnsi="Arial"/>
          <w:color w:val="1A1A1A"/>
          <w:sz w:val="22"/>
          <w:szCs w:val="22"/>
        </w:rPr>
        <w:t xml:space="preserve">Staff shall be trained to recognise the risk of data memorisation — the possibility that information entered into cloud GenAI systems may be retained and surfaced to other users.</w:t>
      </w:r>
    </w:p>
    <w:p>
      <w:pPr>
        <w:spacing w:after="80"/>
      </w:pPr>
      <w:r>
        <w:t xml:space="preserve"/>
      </w:r>
    </w:p>
    <w:p>
      <w:pPr>
        <w:pStyle w:val="Heading2"/>
        <w:spacing w:after="120" w:before="280"/>
      </w:pPr>
      <w:r>
        <w:rPr>
          <w:rFonts w:ascii="Arial" w:cs="Arial" w:eastAsia="Arial" w:hAnsi="Arial"/>
          <w:b/>
          <w:bCs/>
          <w:color w:val="0D7A77"/>
          <w:sz w:val="26"/>
          <w:szCs w:val="26"/>
        </w:rPr>
        <w:t xml:space="preserve">6.6 Vendor and Third-Party AI Governance</w:t>
      </w:r>
    </w:p>
    <w:p>
      <w:pPr>
        <w:spacing w:after="120"/>
      </w:pPr>
      <w:r>
        <w:rPr>
          <w:rFonts w:ascii="Arial" w:cs="Arial" w:eastAsia="Arial" w:hAnsi="Arial"/>
          <w:b w:val="false"/>
          <w:bCs w:val="false"/>
          <w:color w:val="1A1A1A"/>
          <w:sz w:val="22"/>
          <w:szCs w:val="22"/>
        </w:rPr>
        <w:t xml:space="preserve">ISO/IEC CD TS 25568 §6.9.2 highlights that GenAI value chains involve many third-party components that can be improperly obtained or not properly vetted. The following requirements apply to AI vendor management:</w:t>
      </w:r>
    </w:p>
    <w:p>
      <w:pPr>
        <w:spacing w:after="80"/>
      </w:pPr>
      <w:r>
        <w:t xml:space="preserve"/>
      </w:r>
    </w:p>
    <w:p>
      <w:pPr>
        <w:pStyle w:val="ListParagraph"/>
        <w:numPr>
          <w:ilvl w:val="0"/>
          <w:numId w:val="2"/>
        </w:numPr>
      </w:pPr>
      <w:r>
        <w:rPr>
          <w:rFonts w:ascii="Arial" w:cs="Arial" w:eastAsia="Arial" w:hAnsi="Arial"/>
          <w:color w:val="1A1A1A"/>
          <w:sz w:val="22"/>
          <w:szCs w:val="22"/>
        </w:rPr>
        <w:t xml:space="preserve">All AI systems and platforms procured from third parties shall be subject to a documented AI vendor assessment prior to use.</w:t>
      </w:r>
    </w:p>
    <w:p>
      <w:pPr>
        <w:pStyle w:val="ListParagraph"/>
        <w:numPr>
          <w:ilvl w:val="0"/>
          <w:numId w:val="2"/>
        </w:numPr>
      </w:pPr>
      <w:r>
        <w:rPr>
          <w:rFonts w:ascii="Arial" w:cs="Arial" w:eastAsia="Arial" w:hAnsi="Arial"/>
          <w:color w:val="1A1A1A"/>
          <w:sz w:val="22"/>
          <w:szCs w:val="22"/>
        </w:rPr>
        <w:t xml:space="preserve">Vendor assessment shall include: transparency of training data, data retention and privacy practices, model card availability, security controls, incident response capability, and contractual accountability for AI outputs.</w:t>
      </w:r>
    </w:p>
    <w:p>
      <w:pPr>
        <w:pStyle w:val="ListParagraph"/>
        <w:numPr>
          <w:ilvl w:val="0"/>
          <w:numId w:val="2"/>
        </w:numPr>
      </w:pPr>
      <w:r>
        <w:rPr>
          <w:rFonts w:ascii="Arial" w:cs="Arial" w:eastAsia="Arial" w:hAnsi="Arial"/>
          <w:color w:val="1A1A1A"/>
          <w:sz w:val="22"/>
          <w:szCs w:val="22"/>
        </w:rPr>
        <w:t xml:space="preserve">Vendors shall be required to notify the organisation of material changes to AI models or systems used in approved use cases.</w:t>
      </w:r>
    </w:p>
    <w:p>
      <w:pPr>
        <w:pStyle w:val="ListParagraph"/>
        <w:numPr>
          <w:ilvl w:val="0"/>
          <w:numId w:val="2"/>
        </w:numPr>
      </w:pPr>
      <w:r>
        <w:rPr>
          <w:rFonts w:ascii="Arial" w:cs="Arial" w:eastAsia="Arial" w:hAnsi="Arial"/>
          <w:color w:val="1A1A1A"/>
          <w:sz w:val="22"/>
          <w:szCs w:val="22"/>
        </w:rPr>
        <w:t xml:space="preserve">Third-party AI components embedded in procured software shall be identified and assessed as part of the software validation process.</w:t>
      </w:r>
    </w:p>
    <w:p>
      <w:pPr>
        <w:pStyle w:val="ListParagraph"/>
        <w:numPr>
          <w:ilvl w:val="0"/>
          <w:numId w:val="2"/>
        </w:numPr>
      </w:pPr>
      <w:r>
        <w:rPr>
          <w:rFonts w:ascii="Arial" w:cs="Arial" w:eastAsia="Arial" w:hAnsi="Arial"/>
          <w:color w:val="1A1A1A"/>
          <w:sz w:val="22"/>
          <w:szCs w:val="22"/>
        </w:rPr>
        <w:t xml:space="preserve">GenAI use by third-party contract organisations (e.g. CROs, CMOs) in work performed on behalf of the organisation shall be governed by contractual requirements aligned with this policy.</w:t>
      </w:r>
    </w:p>
    <w:p>
      <w:pPr>
        <w:spacing w:after="80"/>
      </w:pPr>
      <w:r>
        <w:t xml:space="preserve"/>
      </w:r>
    </w:p>
    <w:p>
      <w:pPr>
        <w:pStyle w:val="Heading2"/>
        <w:spacing w:after="120" w:before="280"/>
      </w:pPr>
      <w:r>
        <w:rPr>
          <w:rFonts w:ascii="Arial" w:cs="Arial" w:eastAsia="Arial" w:hAnsi="Arial"/>
          <w:b/>
          <w:bCs/>
          <w:color w:val="0D7A77"/>
          <w:sz w:val="26"/>
          <w:szCs w:val="26"/>
        </w:rPr>
        <w:t xml:space="preserve">6.7 Security Requirements</w:t>
      </w:r>
    </w:p>
    <w:p>
      <w:pPr>
        <w:spacing w:after="120"/>
      </w:pPr>
      <w:r>
        <w:rPr>
          <w:rFonts w:ascii="Arial" w:cs="Arial" w:eastAsia="Arial" w:hAnsi="Arial"/>
          <w:b w:val="false"/>
          <w:bCs w:val="false"/>
          <w:color w:val="1A1A1A"/>
          <w:sz w:val="22"/>
          <w:szCs w:val="22"/>
        </w:rPr>
        <w:t xml:space="preserve">In accordance with ISO/IEC CD TS 25568 §6.11, the following security requirements apply to all GenAI deployments:</w:t>
      </w:r>
    </w:p>
    <w:p>
      <w:pPr>
        <w:spacing w:after="80"/>
      </w:pPr>
      <w:r>
        <w:t xml:space="preserve"/>
      </w:r>
    </w:p>
    <w:p>
      <w:pPr>
        <w:pStyle w:val="ListParagraph"/>
        <w:numPr>
          <w:ilvl w:val="0"/>
          <w:numId w:val="2"/>
        </w:numPr>
      </w:pPr>
      <w:r>
        <w:rPr>
          <w:rFonts w:ascii="Arial" w:cs="Arial" w:eastAsia="Arial" w:hAnsi="Arial"/>
          <w:color w:val="1A1A1A"/>
          <w:sz w:val="22"/>
          <w:szCs w:val="22"/>
        </w:rPr>
        <w:t xml:space="preserve">Only AI systems approved by the IT Security function and registered in the AI Use Register may be used for organisational purposes. Use of personal AI accounts or unapproved AI tools for work purposes is prohibited.</w:t>
      </w:r>
    </w:p>
    <w:p>
      <w:pPr>
        <w:pStyle w:val="ListParagraph"/>
        <w:numPr>
          <w:ilvl w:val="0"/>
          <w:numId w:val="2"/>
        </w:numPr>
      </w:pPr>
      <w:r>
        <w:rPr>
          <w:rFonts w:ascii="Arial" w:cs="Arial" w:eastAsia="Arial" w:hAnsi="Arial"/>
          <w:color w:val="1A1A1A"/>
          <w:sz w:val="22"/>
          <w:szCs w:val="22"/>
        </w:rPr>
        <w:t xml:space="preserve">Prompt injection risks shall be assessed and mitigated for any GenAI system that processes external or user-generated data inputs.</w:t>
      </w:r>
    </w:p>
    <w:p>
      <w:pPr>
        <w:pStyle w:val="ListParagraph"/>
        <w:numPr>
          <w:ilvl w:val="0"/>
          <w:numId w:val="2"/>
        </w:numPr>
      </w:pPr>
      <w:r>
        <w:rPr>
          <w:rFonts w:ascii="Arial" w:cs="Arial" w:eastAsia="Arial" w:hAnsi="Arial"/>
          <w:color w:val="1A1A1A"/>
          <w:sz w:val="22"/>
          <w:szCs w:val="22"/>
        </w:rPr>
        <w:t xml:space="preserve">AI systems integrated with organisational data sources, document management systems, or process automation tools shall be subject to penetration testing and security assessment.</w:t>
      </w:r>
    </w:p>
    <w:p>
      <w:pPr>
        <w:pStyle w:val="ListParagraph"/>
        <w:numPr>
          <w:ilvl w:val="0"/>
          <w:numId w:val="2"/>
        </w:numPr>
      </w:pPr>
      <w:r>
        <w:rPr>
          <w:rFonts w:ascii="Arial" w:cs="Arial" w:eastAsia="Arial" w:hAnsi="Arial"/>
          <w:color w:val="1A1A1A"/>
          <w:sz w:val="22"/>
          <w:szCs w:val="22"/>
        </w:rPr>
        <w:t xml:space="preserve">AI security incidents (including suspected prompt injection, data exfiltration, or model manipulation) shall be reported and managed through the organisation's information security incident management process.</w:t>
      </w:r>
    </w:p>
    <w:p>
      <w:pPr>
        <w:pStyle w:val="ListParagraph"/>
        <w:numPr>
          <w:ilvl w:val="0"/>
          <w:numId w:val="2"/>
        </w:numPr>
      </w:pPr>
      <w:r>
        <w:rPr>
          <w:rFonts w:ascii="Arial" w:cs="Arial" w:eastAsia="Arial" w:hAnsi="Arial"/>
          <w:color w:val="1A1A1A"/>
          <w:sz w:val="22"/>
          <w:szCs w:val="22"/>
        </w:rPr>
        <w:t xml:space="preserve">Model weights, fine-tuning data, and system prompts are classified as organisational assets and shall be protected accordingly.</w:t>
      </w:r>
    </w:p>
    <w:p>
      <w:pPr>
        <w:spacing w:after="80"/>
      </w:pPr>
      <w:r>
        <w:t xml:space="preserve"/>
      </w:r>
    </w:p>
    <w:p>
      <w:pPr>
        <w:pStyle w:val="Heading1"/>
        <w:pBdr>
          <w:bottom w:val="single" w:color="0D7A77" w:sz="6" w:space="4"/>
        </w:pBdr>
        <w:spacing w:after="180" w:before="360"/>
      </w:pPr>
      <w:r>
        <w:rPr>
          <w:rFonts w:ascii="Arial" w:cs="Arial" w:eastAsia="Arial" w:hAnsi="Arial"/>
          <w:b/>
          <w:bCs/>
          <w:color w:val="1B3A6B"/>
          <w:sz w:val="32"/>
          <w:szCs w:val="32"/>
        </w:rPr>
        <w:t xml:space="preserve">7. Roles and Responsibilities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DDDDDD" w:sz="1"/>
              <w:left w:val="single" w:color="DDDDDD" w:sz="1"/>
              <w:bottom w:val="single" w:color="DDDDDD" w:sz="1"/>
              <w:right w:val="single" w:color="DDDDDD" w:sz="1"/>
            </w:tcBorders>
            <w:shd w:fill="0D7A77" w:val="clear"/>
            <w:tcMar>
              <w:top w:type="dxa" w:w="80"/>
              <w:left w:type="dxa" w:w="120"/>
              <w:bottom w:type="dxa" w:w="80"/>
              <w:right w:type="dxa" w:w="120"/>
            </w:tcMar>
          </w:tcPr>
          <w:p>
            <w:r>
              <w:rPr>
                <w:rFonts w:ascii="Arial" w:cs="Arial" w:eastAsia="Arial" w:hAnsi="Arial"/>
                <w:b/>
                <w:bCs/>
                <w:color w:val="FFFFFF"/>
                <w:sz w:val="20"/>
                <w:szCs w:val="20"/>
              </w:rPr>
              <w:t xml:space="preserve">Role / Function</w:t>
            </w:r>
          </w:p>
        </w:tc>
        <w:tc>
          <w:tcPr>
            <w:tcW w:type="dxa" w:w="6560"/>
            <w:tcBorders>
              <w:top w:val="single" w:color="DDDDDD" w:sz="1"/>
              <w:left w:val="single" w:color="DDDDDD" w:sz="1"/>
              <w:bottom w:val="single" w:color="DDDDDD" w:sz="1"/>
              <w:right w:val="single" w:color="DDDDDD" w:sz="1"/>
            </w:tcBorders>
            <w:shd w:fill="0D7A77" w:val="clear"/>
            <w:tcMar>
              <w:top w:type="dxa" w:w="80"/>
              <w:left w:type="dxa" w:w="120"/>
              <w:bottom w:type="dxa" w:w="80"/>
              <w:right w:type="dxa" w:w="120"/>
            </w:tcMar>
          </w:tcPr>
          <w:p>
            <w:r>
              <w:rPr>
                <w:rFonts w:ascii="Arial" w:cs="Arial" w:eastAsia="Arial" w:hAnsi="Arial"/>
                <w:b/>
                <w:bCs/>
                <w:color w:val="FFFFFF"/>
                <w:sz w:val="20"/>
                <w:szCs w:val="20"/>
              </w:rPr>
              <w:t xml:space="preserve">Responsibilities</w:t>
            </w:r>
          </w:p>
        </w:tc>
      </w:tr>
      <w:tr>
        <w:tc>
          <w:tcPr>
            <w:tcW w:type="dxa" w:w="2800"/>
            <w:tcBorders>
              <w:top w:val="single" w:color="DDDDDD" w:sz="1"/>
              <w:left w:val="single" w:color="DDDDDD" w:sz="1"/>
              <w:bottom w:val="single" w:color="DDDDDD" w:sz="1"/>
              <w:right w:val="single" w:color="DDDDDD" w:sz="1"/>
            </w:tcBorders>
            <w:shd w:fill="E8F4F4" w:val="clear"/>
            <w:tcMar>
              <w:top w:type="dxa" w:w="80"/>
              <w:left w:type="dxa" w:w="120"/>
              <w:bottom w:type="dxa" w:w="80"/>
              <w:right w:type="dxa" w:w="120"/>
            </w:tcMar>
          </w:tcPr>
          <w:p>
            <w:r>
              <w:rPr>
                <w:rFonts w:ascii="Arial" w:cs="Arial" w:eastAsia="Arial" w:hAnsi="Arial"/>
                <w:b/>
                <w:bCs/>
                <w:color w:val="1B3A6B"/>
                <w:sz w:val="20"/>
                <w:szCs w:val="20"/>
              </w:rPr>
              <w:t xml:space="preserve">Senior Management / Board</w:t>
            </w:r>
          </w:p>
        </w:tc>
        <w:tc>
          <w:tcPr>
            <w:tcW w:type="dxa" w:w="6560"/>
            <w:tcBorders>
              <w:top w:val="single" w:color="DDDDDD" w:sz="1"/>
              <w:left w:val="single" w:color="DDDDDD" w:sz="1"/>
              <w:bottom w:val="single" w:color="DDDDDD" w:sz="1"/>
              <w:right w:val="single" w:color="DDDDDD" w:sz="1"/>
            </w:tcBorders>
            <w:shd w:fill="E8F4F4" w:val="clear"/>
            <w:tcMar>
              <w:top w:type="dxa" w:w="80"/>
              <w:left w:type="dxa" w:w="120"/>
              <w:bottom w:type="dxa" w:w="80"/>
              <w:right w:type="dxa" w:w="120"/>
            </w:tcMar>
          </w:tcPr>
          <w:p>
            <w:r>
              <w:rPr>
                <w:rFonts w:ascii="Arial" w:cs="Arial" w:eastAsia="Arial" w:hAnsi="Arial"/>
                <w:color w:val="1A1A1A"/>
                <w:sz w:val="20"/>
                <w:szCs w:val="20"/>
              </w:rPr>
              <w:t xml:space="preserve">Approve AI governance policy; ensure adequate resources for AI risk management; set the organisational risk appetite for GenAI use; receive periodic reporting on AI use and risks.</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B3A6B"/>
                <w:sz w:val="20"/>
                <w:szCs w:val="20"/>
              </w:rPr>
              <w:t xml:space="preserve">AI Governance Function / AI Steering Committee</w:t>
            </w:r>
          </w:p>
        </w:tc>
        <w:tc>
          <w:tcPr>
            <w:tcW w:type="dxa" w:w="6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Maintain the AI Use Register; coordinate AI risk assessments; approve new GenAI use cases at Critical and High tiers; interface with regulatory bodies; coordinate policy updates.</w:t>
            </w:r>
          </w:p>
        </w:tc>
      </w:tr>
      <w:tr>
        <w:tc>
          <w:tcPr>
            <w:tcW w:type="dxa" w:w="2800"/>
            <w:tcBorders>
              <w:top w:val="single" w:color="DDDDDD" w:sz="1"/>
              <w:left w:val="single" w:color="DDDDDD" w:sz="1"/>
              <w:bottom w:val="single" w:color="DDDDDD" w:sz="1"/>
              <w:right w:val="single" w:color="DDDDDD" w:sz="1"/>
            </w:tcBorders>
            <w:shd w:fill="E8F4F4" w:val="clear"/>
            <w:tcMar>
              <w:top w:type="dxa" w:w="80"/>
              <w:left w:type="dxa" w:w="120"/>
              <w:bottom w:type="dxa" w:w="80"/>
              <w:right w:type="dxa" w:w="120"/>
            </w:tcMar>
          </w:tcPr>
          <w:p>
            <w:r>
              <w:rPr>
                <w:rFonts w:ascii="Arial" w:cs="Arial" w:eastAsia="Arial" w:hAnsi="Arial"/>
                <w:b/>
                <w:bCs/>
                <w:color w:val="1B3A6B"/>
                <w:sz w:val="20"/>
                <w:szCs w:val="20"/>
              </w:rPr>
              <w:t xml:space="preserve">Quality / Regulatory Affairs</w:t>
            </w:r>
          </w:p>
        </w:tc>
        <w:tc>
          <w:tcPr>
            <w:tcW w:type="dxa" w:w="6560"/>
            <w:tcBorders>
              <w:top w:val="single" w:color="DDDDDD" w:sz="1"/>
              <w:left w:val="single" w:color="DDDDDD" w:sz="1"/>
              <w:bottom w:val="single" w:color="DDDDDD" w:sz="1"/>
              <w:right w:val="single" w:color="DDDDDD" w:sz="1"/>
            </w:tcBorders>
            <w:shd w:fill="E8F4F4" w:val="clear"/>
            <w:tcMar>
              <w:top w:type="dxa" w:w="80"/>
              <w:left w:type="dxa" w:w="120"/>
              <w:bottom w:type="dxa" w:w="80"/>
              <w:right w:type="dxa" w:w="120"/>
            </w:tcMar>
          </w:tcPr>
          <w:p>
            <w:r>
              <w:rPr>
                <w:rFonts w:ascii="Arial" w:cs="Arial" w:eastAsia="Arial" w:hAnsi="Arial"/>
                <w:color w:val="1A1A1A"/>
                <w:sz w:val="20"/>
                <w:szCs w:val="20"/>
              </w:rPr>
              <w:t xml:space="preserve">Document Owner for this procedure; integrate AI controls into QMS; ensure AI-related CAPA processes are in place; advise on AI use in regulated submissions and documentation.</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B3A6B"/>
                <w:sz w:val="20"/>
                <w:szCs w:val="20"/>
              </w:rPr>
              <w:t xml:space="preserve">IT / Information Security</w:t>
            </w:r>
          </w:p>
        </w:tc>
        <w:tc>
          <w:tcPr>
            <w:tcW w:type="dxa" w:w="6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Approve and maintain secure AI infrastructure; conduct vendor security assessments; manage AI security incidents; implement technical controls for prompt injection, data loss prevention, and access management.</w:t>
            </w:r>
          </w:p>
        </w:tc>
      </w:tr>
      <w:tr>
        <w:tc>
          <w:tcPr>
            <w:tcW w:type="dxa" w:w="2800"/>
            <w:tcBorders>
              <w:top w:val="single" w:color="DDDDDD" w:sz="1"/>
              <w:left w:val="single" w:color="DDDDDD" w:sz="1"/>
              <w:bottom w:val="single" w:color="DDDDDD" w:sz="1"/>
              <w:right w:val="single" w:color="DDDDDD" w:sz="1"/>
            </w:tcBorders>
            <w:shd w:fill="E8F4F4" w:val="clear"/>
            <w:tcMar>
              <w:top w:type="dxa" w:w="80"/>
              <w:left w:type="dxa" w:w="120"/>
              <w:bottom w:type="dxa" w:w="80"/>
              <w:right w:type="dxa" w:w="120"/>
            </w:tcMar>
          </w:tcPr>
          <w:p>
            <w:r>
              <w:rPr>
                <w:rFonts w:ascii="Arial" w:cs="Arial" w:eastAsia="Arial" w:hAnsi="Arial"/>
                <w:b/>
                <w:bCs/>
                <w:color w:val="1B3A6B"/>
                <w:sz w:val="20"/>
                <w:szCs w:val="20"/>
              </w:rPr>
              <w:t xml:space="preserve">Data Protection Officer (DPO)</w:t>
            </w:r>
          </w:p>
        </w:tc>
        <w:tc>
          <w:tcPr>
            <w:tcW w:type="dxa" w:w="6560"/>
            <w:tcBorders>
              <w:top w:val="single" w:color="DDDDDD" w:sz="1"/>
              <w:left w:val="single" w:color="DDDDDD" w:sz="1"/>
              <w:bottom w:val="single" w:color="DDDDDD" w:sz="1"/>
              <w:right w:val="single" w:color="DDDDDD" w:sz="1"/>
            </w:tcBorders>
            <w:shd w:fill="E8F4F4" w:val="clear"/>
            <w:tcMar>
              <w:top w:type="dxa" w:w="80"/>
              <w:left w:type="dxa" w:w="120"/>
              <w:bottom w:type="dxa" w:w="80"/>
              <w:right w:type="dxa" w:w="120"/>
            </w:tcMar>
          </w:tcPr>
          <w:p>
            <w:r>
              <w:rPr>
                <w:rFonts w:ascii="Arial" w:cs="Arial" w:eastAsia="Arial" w:hAnsi="Arial"/>
                <w:color w:val="1A1A1A"/>
                <w:sz w:val="20"/>
                <w:szCs w:val="20"/>
              </w:rPr>
              <w:t xml:space="preserve">Conduct and maintain DPIAs for AI use cases involving personal data; advise on GDPR compliance; liaise with supervisory authorities.</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B3A6B"/>
                <w:sz w:val="20"/>
                <w:szCs w:val="20"/>
              </w:rPr>
              <w:t xml:space="preserve">Line Managers / Function Heads</w:t>
            </w:r>
          </w:p>
        </w:tc>
        <w:tc>
          <w:tcPr>
            <w:tcW w:type="dxa" w:w="6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Ensure all staff complete mandatory AI literacy training; approve and register GenAI use within their functions; ensure human oversight processes are followed; escalate AI risks or incidents.</w:t>
            </w:r>
          </w:p>
        </w:tc>
      </w:tr>
      <w:tr>
        <w:tc>
          <w:tcPr>
            <w:tcW w:type="dxa" w:w="2800"/>
            <w:tcBorders>
              <w:top w:val="single" w:color="DDDDDD" w:sz="1"/>
              <w:left w:val="single" w:color="DDDDDD" w:sz="1"/>
              <w:bottom w:val="single" w:color="DDDDDD" w:sz="1"/>
              <w:right w:val="single" w:color="DDDDDD" w:sz="1"/>
            </w:tcBorders>
            <w:shd w:fill="E8F4F4" w:val="clear"/>
            <w:tcMar>
              <w:top w:type="dxa" w:w="80"/>
              <w:left w:type="dxa" w:w="120"/>
              <w:bottom w:type="dxa" w:w="80"/>
              <w:right w:type="dxa" w:w="120"/>
            </w:tcMar>
          </w:tcPr>
          <w:p>
            <w:r>
              <w:rPr>
                <w:rFonts w:ascii="Arial" w:cs="Arial" w:eastAsia="Arial" w:hAnsi="Arial"/>
                <w:b/>
                <w:bCs/>
                <w:color w:val="1B3A6B"/>
                <w:sz w:val="20"/>
                <w:szCs w:val="20"/>
              </w:rPr>
              <w:t xml:space="preserve">All Staff</w:t>
            </w:r>
          </w:p>
        </w:tc>
        <w:tc>
          <w:tcPr>
            <w:tcW w:type="dxa" w:w="6560"/>
            <w:tcBorders>
              <w:top w:val="single" w:color="DDDDDD" w:sz="1"/>
              <w:left w:val="single" w:color="DDDDDD" w:sz="1"/>
              <w:bottom w:val="single" w:color="DDDDDD" w:sz="1"/>
              <w:right w:val="single" w:color="DDDDDD" w:sz="1"/>
            </w:tcBorders>
            <w:shd w:fill="E8F4F4" w:val="clear"/>
            <w:tcMar>
              <w:top w:type="dxa" w:w="80"/>
              <w:left w:type="dxa" w:w="120"/>
              <w:bottom w:type="dxa" w:w="80"/>
              <w:right w:type="dxa" w:w="120"/>
            </w:tcMar>
          </w:tcPr>
          <w:p>
            <w:r>
              <w:rPr>
                <w:rFonts w:ascii="Arial" w:cs="Arial" w:eastAsia="Arial" w:hAnsi="Arial"/>
                <w:color w:val="1A1A1A"/>
                <w:sz w:val="20"/>
                <w:szCs w:val="20"/>
              </w:rPr>
              <w:t xml:space="preserve">Complete mandatory AI literacy training; register AI use in accordance with this procedure; apply human oversight requirements; report AI-related incidents, errors, or concerns; never enter prohibited data into AI systems.</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B3A6B"/>
                <w:sz w:val="20"/>
                <w:szCs w:val="20"/>
              </w:rPr>
              <w:t xml:space="preserve">Third-Party Vendors / CROs / CMOs</w:t>
            </w:r>
          </w:p>
        </w:tc>
        <w:tc>
          <w:tcPr>
            <w:tcW w:type="dxa" w:w="65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Comply with contractual AI governance requirements; notify the organisation of material changes to AI systems used in contracted work; maintain their own AI risk management processes.</w:t>
            </w:r>
          </w:p>
        </w:tc>
      </w:tr>
    </w:tbl>
    <w:p>
      <w:pPr>
        <w:spacing w:after="80"/>
      </w:pPr>
      <w:r>
        <w:t xml:space="preserve"/>
      </w:r>
    </w:p>
    <w:p>
      <w:pPr>
        <w:pStyle w:val="Heading1"/>
        <w:pBdr>
          <w:bottom w:val="single" w:color="0D7A77" w:sz="6" w:space="4"/>
        </w:pBdr>
        <w:spacing w:after="180" w:before="360"/>
      </w:pPr>
      <w:r>
        <w:rPr>
          <w:rFonts w:ascii="Arial" w:cs="Arial" w:eastAsia="Arial" w:hAnsi="Arial"/>
          <w:b/>
          <w:bCs/>
          <w:color w:val="1B3A6B"/>
          <w:sz w:val="32"/>
          <w:szCs w:val="32"/>
        </w:rPr>
        <w:t xml:space="preserve">8. Implementation Guidance</w:t>
      </w:r>
    </w:p>
    <w:p>
      <w:pPr>
        <w:pStyle w:val="Heading2"/>
        <w:spacing w:after="120" w:before="280"/>
      </w:pPr>
      <w:r>
        <w:rPr>
          <w:rFonts w:ascii="Arial" w:cs="Arial" w:eastAsia="Arial" w:hAnsi="Arial"/>
          <w:b/>
          <w:bCs/>
          <w:color w:val="0D7A77"/>
          <w:sz w:val="26"/>
          <w:szCs w:val="26"/>
        </w:rPr>
        <w:t xml:space="preserve">8.1 Approved Use Cases</w:t>
      </w:r>
    </w:p>
    <w:p>
      <w:pPr>
        <w:spacing w:after="120"/>
      </w:pPr>
      <w:r>
        <w:rPr>
          <w:rFonts w:ascii="Arial" w:cs="Arial" w:eastAsia="Arial" w:hAnsi="Arial"/>
          <w:b w:val="false"/>
          <w:bCs w:val="false"/>
          <w:color w:val="1A1A1A"/>
          <w:sz w:val="22"/>
          <w:szCs w:val="22"/>
        </w:rPr>
        <w:t xml:space="preserve">The following use cases are considered generally appropriate for GenAI use in life science organisations, subject to the risk tier classification and human oversight requirements of §6:</w:t>
      </w:r>
    </w:p>
    <w:p>
      <w:pPr>
        <w:spacing w:after="80"/>
      </w:pPr>
      <w:r>
        <w:t xml:space="preserve"/>
      </w:r>
    </w:p>
    <w:p>
      <w:pPr>
        <w:pStyle w:val="ListParagraph"/>
        <w:numPr>
          <w:ilvl w:val="0"/>
          <w:numId w:val="2"/>
        </w:numPr>
      </w:pPr>
      <w:r>
        <w:rPr>
          <w:rFonts w:ascii="Arial" w:cs="Arial" w:eastAsia="Arial" w:hAnsi="Arial"/>
          <w:color w:val="1A1A1A"/>
          <w:sz w:val="22"/>
          <w:szCs w:val="22"/>
        </w:rPr>
        <w:t xml:space="preserve">Literature search summarisation and evidence synthesis (High — requires expert scientific review)</w:t>
      </w:r>
    </w:p>
    <w:p>
      <w:pPr>
        <w:pStyle w:val="ListParagraph"/>
        <w:numPr>
          <w:ilvl w:val="0"/>
          <w:numId w:val="2"/>
        </w:numPr>
      </w:pPr>
      <w:r>
        <w:rPr>
          <w:rFonts w:ascii="Arial" w:cs="Arial" w:eastAsia="Arial" w:hAnsi="Arial"/>
          <w:color w:val="1A1A1A"/>
          <w:sz w:val="22"/>
          <w:szCs w:val="22"/>
        </w:rPr>
        <w:t xml:space="preserve">Draft technical writing (SOPs, reports, protocols) — as a drafting aid only, never as final output (High/Critical depending on document type)</w:t>
      </w:r>
    </w:p>
    <w:p>
      <w:pPr>
        <w:pStyle w:val="ListParagraph"/>
        <w:numPr>
          <w:ilvl w:val="0"/>
          <w:numId w:val="2"/>
        </w:numPr>
      </w:pPr>
      <w:r>
        <w:rPr>
          <w:rFonts w:ascii="Arial" w:cs="Arial" w:eastAsia="Arial" w:hAnsi="Arial"/>
          <w:color w:val="1A1A1A"/>
          <w:sz w:val="22"/>
          <w:szCs w:val="22"/>
        </w:rPr>
        <w:t xml:space="preserve">Regulatory intelligence — summarising guidance documents, regulatory updates (High — requires regulatory expert review)</w:t>
      </w:r>
    </w:p>
    <w:p>
      <w:pPr>
        <w:pStyle w:val="ListParagraph"/>
        <w:numPr>
          <w:ilvl w:val="0"/>
          <w:numId w:val="2"/>
        </w:numPr>
      </w:pPr>
      <w:r>
        <w:rPr>
          <w:rFonts w:ascii="Arial" w:cs="Arial" w:eastAsia="Arial" w:hAnsi="Arial"/>
          <w:color w:val="1A1A1A"/>
          <w:sz w:val="22"/>
          <w:szCs w:val="22"/>
        </w:rPr>
        <w:t xml:space="preserve">Code generation for non-safety-critical scripts and tools (Medium)</w:t>
      </w:r>
    </w:p>
    <w:p>
      <w:pPr>
        <w:pStyle w:val="ListParagraph"/>
        <w:numPr>
          <w:ilvl w:val="0"/>
          <w:numId w:val="2"/>
        </w:numPr>
      </w:pPr>
      <w:r>
        <w:rPr>
          <w:rFonts w:ascii="Arial" w:cs="Arial" w:eastAsia="Arial" w:hAnsi="Arial"/>
          <w:color w:val="1A1A1A"/>
          <w:sz w:val="22"/>
          <w:szCs w:val="22"/>
        </w:rPr>
        <w:t xml:space="preserve">Internal training material drafting (Medium)</w:t>
      </w:r>
    </w:p>
    <w:p>
      <w:pPr>
        <w:pStyle w:val="ListParagraph"/>
        <w:numPr>
          <w:ilvl w:val="0"/>
          <w:numId w:val="2"/>
        </w:numPr>
      </w:pPr>
      <w:r>
        <w:rPr>
          <w:rFonts w:ascii="Arial" w:cs="Arial" w:eastAsia="Arial" w:hAnsi="Arial"/>
          <w:color w:val="1A1A1A"/>
          <w:sz w:val="22"/>
          <w:szCs w:val="22"/>
        </w:rPr>
        <w:t xml:space="preserve">Administrative correspondence and meeting summaries (Low/Medium)</w:t>
      </w:r>
    </w:p>
    <w:p>
      <w:pPr>
        <w:pStyle w:val="ListParagraph"/>
        <w:numPr>
          <w:ilvl w:val="0"/>
          <w:numId w:val="2"/>
        </w:numPr>
      </w:pPr>
      <w:r>
        <w:rPr>
          <w:rFonts w:ascii="Arial" w:cs="Arial" w:eastAsia="Arial" w:hAnsi="Arial"/>
          <w:color w:val="1A1A1A"/>
          <w:sz w:val="22"/>
          <w:szCs w:val="22"/>
        </w:rPr>
        <w:t xml:space="preserve">Brainstorming and ideation support (Low)</w:t>
      </w:r>
    </w:p>
    <w:p>
      <w:pPr>
        <w:spacing w:after="80"/>
      </w:pPr>
      <w:r>
        <w:t xml:space="preserve"/>
      </w:r>
    </w:p>
    <w:p>
      <w:pPr>
        <w:pStyle w:val="Heading2"/>
        <w:spacing w:after="120" w:before="280"/>
      </w:pPr>
      <w:r>
        <w:rPr>
          <w:rFonts w:ascii="Arial" w:cs="Arial" w:eastAsia="Arial" w:hAnsi="Arial"/>
          <w:b/>
          <w:bCs/>
          <w:color w:val="0D7A77"/>
          <w:sz w:val="26"/>
          <w:szCs w:val="26"/>
        </w:rPr>
        <w:t xml:space="preserve">8.2 Prohibited Use Cases</w:t>
      </w:r>
    </w:p>
    <w:p>
      <w:pPr>
        <w:spacing w:after="120"/>
      </w:pPr>
      <w:r>
        <w:rPr>
          <w:rFonts w:ascii="Arial" w:cs="Arial" w:eastAsia="Arial" w:hAnsi="Arial"/>
          <w:b w:val="false"/>
          <w:bCs w:val="false"/>
          <w:color w:val="1A1A1A"/>
          <w:sz w:val="22"/>
          <w:szCs w:val="22"/>
        </w:rPr>
        <w:t xml:space="preserve">The following uses of GenAI are prohibited without explicit senior management and QMS approval supported by documented risk assessment and validation:</w:t>
      </w:r>
    </w:p>
    <w:p>
      <w:pPr>
        <w:spacing w:after="80"/>
      </w:pPr>
      <w:r>
        <w:t xml:space="preserve"/>
      </w:r>
    </w:p>
    <w:p>
      <w:pPr>
        <w:pStyle w:val="ListParagraph"/>
        <w:numPr>
          <w:ilvl w:val="0"/>
          <w:numId w:val="2"/>
        </w:numPr>
      </w:pPr>
      <w:r>
        <w:rPr>
          <w:rFonts w:ascii="Arial" w:cs="Arial" w:eastAsia="Arial" w:hAnsi="Arial"/>
          <w:color w:val="1A1A1A"/>
          <w:sz w:val="22"/>
          <w:szCs w:val="22"/>
        </w:rPr>
        <w:t xml:space="preserve">Autonomous generation of regulatory submissions (e.g. MAAs, CTAs, 510(k)s) without qualified human authorship and review</w:t>
      </w:r>
    </w:p>
    <w:p>
      <w:pPr>
        <w:pStyle w:val="ListParagraph"/>
        <w:numPr>
          <w:ilvl w:val="0"/>
          <w:numId w:val="2"/>
        </w:numPr>
      </w:pPr>
      <w:r>
        <w:rPr>
          <w:rFonts w:ascii="Arial" w:cs="Arial" w:eastAsia="Arial" w:hAnsi="Arial"/>
          <w:color w:val="1A1A1A"/>
          <w:sz w:val="22"/>
          <w:szCs w:val="22"/>
        </w:rPr>
        <w:t xml:space="preserve">Direct generation of Instructions for Use (IFU), labelling, or patient-facing content without qualified human review and document control</w:t>
      </w:r>
    </w:p>
    <w:p>
      <w:pPr>
        <w:pStyle w:val="ListParagraph"/>
        <w:numPr>
          <w:ilvl w:val="0"/>
          <w:numId w:val="2"/>
        </w:numPr>
      </w:pPr>
      <w:r>
        <w:rPr>
          <w:rFonts w:ascii="Arial" w:cs="Arial" w:eastAsia="Arial" w:hAnsi="Arial"/>
          <w:color w:val="1A1A1A"/>
          <w:sz w:val="22"/>
          <w:szCs w:val="22"/>
        </w:rPr>
        <w:t xml:space="preserve">Clinical decision support without conformity assessment as SaMD/AIeMD under applicable regulations</w:t>
      </w:r>
    </w:p>
    <w:p>
      <w:pPr>
        <w:pStyle w:val="ListParagraph"/>
        <w:numPr>
          <w:ilvl w:val="0"/>
          <w:numId w:val="2"/>
        </w:numPr>
      </w:pPr>
      <w:r>
        <w:rPr>
          <w:rFonts w:ascii="Arial" w:cs="Arial" w:eastAsia="Arial" w:hAnsi="Arial"/>
          <w:color w:val="1A1A1A"/>
          <w:sz w:val="22"/>
          <w:szCs w:val="22"/>
        </w:rPr>
        <w:t xml:space="preserve">Processing of identifiable patient data in unapproved AI systems</w:t>
      </w:r>
    </w:p>
    <w:p>
      <w:pPr>
        <w:pStyle w:val="ListParagraph"/>
        <w:numPr>
          <w:ilvl w:val="0"/>
          <w:numId w:val="2"/>
        </w:numPr>
      </w:pPr>
      <w:r>
        <w:rPr>
          <w:rFonts w:ascii="Arial" w:cs="Arial" w:eastAsia="Arial" w:hAnsi="Arial"/>
          <w:color w:val="1A1A1A"/>
          <w:sz w:val="22"/>
          <w:szCs w:val="22"/>
        </w:rPr>
        <w:t xml:space="preserve">Generation of software source code for use in medical devices without appropriate validation</w:t>
      </w:r>
    </w:p>
    <w:p>
      <w:pPr>
        <w:pStyle w:val="ListParagraph"/>
        <w:numPr>
          <w:ilvl w:val="0"/>
          <w:numId w:val="2"/>
        </w:numPr>
      </w:pPr>
      <w:r>
        <w:rPr>
          <w:rFonts w:ascii="Arial" w:cs="Arial" w:eastAsia="Arial" w:hAnsi="Arial"/>
          <w:color w:val="1A1A1A"/>
          <w:sz w:val="22"/>
          <w:szCs w:val="22"/>
        </w:rPr>
        <w:t xml:space="preserve">Use of AI systems not registered in the AI Use Register</w:t>
      </w:r>
    </w:p>
    <w:p>
      <w:pPr>
        <w:spacing w:after="80"/>
      </w:pPr>
      <w:r>
        <w:t xml:space="preserve"/>
      </w:r>
    </w:p>
    <w:p>
      <w:pPr>
        <w:pStyle w:val="Heading2"/>
        <w:spacing w:after="120" w:before="280"/>
      </w:pPr>
      <w:r>
        <w:rPr>
          <w:rFonts w:ascii="Arial" w:cs="Arial" w:eastAsia="Arial" w:hAnsi="Arial"/>
          <w:b/>
          <w:bCs/>
          <w:color w:val="0D7A77"/>
          <w:sz w:val="26"/>
          <w:szCs w:val="26"/>
        </w:rPr>
        <w:t xml:space="preserve">8.3 Validation and Qualification of GenAI Systems</w:t>
      </w:r>
    </w:p>
    <w:p>
      <w:pPr>
        <w:spacing w:after="120"/>
      </w:pPr>
      <w:r>
        <w:rPr>
          <w:rFonts w:ascii="Arial" w:cs="Arial" w:eastAsia="Arial" w:hAnsi="Arial"/>
          <w:b w:val="false"/>
          <w:bCs w:val="false"/>
          <w:color w:val="1A1A1A"/>
          <w:sz w:val="22"/>
          <w:szCs w:val="22"/>
        </w:rPr>
        <w:t xml:space="preserve">GenAI systems used in regulated contexts require a risk-proportionate qualification or validation programme. Key considerations informed by ISO/IEC CD TS 25568 §7.4 include:</w:t>
      </w:r>
    </w:p>
    <w:p>
      <w:pPr>
        <w:spacing w:after="80"/>
      </w:pPr>
      <w:r>
        <w:t xml:space="preserve"/>
      </w:r>
    </w:p>
    <w:p>
      <w:pPr>
        <w:pStyle w:val="ListParagraph"/>
        <w:numPr>
          <w:ilvl w:val="0"/>
          <w:numId w:val="2"/>
        </w:numPr>
      </w:pPr>
      <w:r>
        <w:rPr>
          <w:rFonts w:ascii="Arial" w:cs="Arial" w:eastAsia="Arial" w:hAnsi="Arial"/>
          <w:color w:val="1A1A1A"/>
          <w:sz w:val="22"/>
          <w:szCs w:val="22"/>
        </w:rPr>
        <w:t xml:space="preserve">GenAI systems cannot be exhaustively tested due to the effectively infinite space of possible inputs and outputs. Validation strategy must be explicitly risk-based.</w:t>
      </w:r>
    </w:p>
    <w:p>
      <w:pPr>
        <w:pStyle w:val="ListParagraph"/>
        <w:numPr>
          <w:ilvl w:val="0"/>
          <w:numId w:val="2"/>
        </w:numPr>
      </w:pPr>
      <w:r>
        <w:rPr>
          <w:rFonts w:ascii="Arial" w:cs="Arial" w:eastAsia="Arial" w:hAnsi="Arial"/>
          <w:color w:val="1A1A1A"/>
          <w:sz w:val="22"/>
          <w:szCs w:val="22"/>
        </w:rPr>
        <w:t xml:space="preserve">Validation shall include adversarial testing: representative cases, edge cases, and cases designed to elicit confabulation.</w:t>
      </w:r>
    </w:p>
    <w:p>
      <w:pPr>
        <w:pStyle w:val="ListParagraph"/>
        <w:numPr>
          <w:ilvl w:val="0"/>
          <w:numId w:val="2"/>
        </w:numPr>
      </w:pPr>
      <w:r>
        <w:rPr>
          <w:rFonts w:ascii="Arial" w:cs="Arial" w:eastAsia="Arial" w:hAnsi="Arial"/>
          <w:color w:val="1A1A1A"/>
          <w:sz w:val="22"/>
          <w:szCs w:val="22"/>
        </w:rPr>
        <w:t xml:space="preserve">Benchmark datasets used for validation shall be assessed for label accuracy and representativeness.</w:t>
      </w:r>
    </w:p>
    <w:p>
      <w:pPr>
        <w:pStyle w:val="ListParagraph"/>
        <w:numPr>
          <w:ilvl w:val="0"/>
          <w:numId w:val="2"/>
        </w:numPr>
      </w:pPr>
      <w:r>
        <w:rPr>
          <w:rFonts w:ascii="Arial" w:cs="Arial" w:eastAsia="Arial" w:hAnsi="Arial"/>
          <w:color w:val="1A1A1A"/>
          <w:sz w:val="22"/>
          <w:szCs w:val="22"/>
        </w:rPr>
        <w:t xml:space="preserve">Validation shall be repeated following material changes to the underlying foundation model, fine-tuning, or deployment configuration.</w:t>
      </w:r>
    </w:p>
    <w:p>
      <w:pPr>
        <w:pStyle w:val="ListParagraph"/>
        <w:numPr>
          <w:ilvl w:val="0"/>
          <w:numId w:val="2"/>
        </w:numPr>
      </w:pPr>
      <w:r>
        <w:rPr>
          <w:rFonts w:ascii="Arial" w:cs="Arial" w:eastAsia="Arial" w:hAnsi="Arial"/>
          <w:color w:val="1A1A1A"/>
          <w:sz w:val="22"/>
          <w:szCs w:val="22"/>
        </w:rPr>
        <w:t xml:space="preserve">For SaMD/AIeMD, validation shall comply with IEC 62304, applicable notified body guidance, and IMDRF ML-based SaMD frameworks.</w:t>
      </w:r>
    </w:p>
    <w:p>
      <w:pPr>
        <w:spacing w:after="80"/>
      </w:pPr>
      <w:r>
        <w:t xml:space="preserve"/>
      </w:r>
    </w:p>
    <w:p>
      <w:pPr>
        <w:pStyle w:val="Heading2"/>
        <w:spacing w:after="120" w:before="280"/>
      </w:pPr>
      <w:r>
        <w:rPr>
          <w:rFonts w:ascii="Arial" w:cs="Arial" w:eastAsia="Arial" w:hAnsi="Arial"/>
          <w:b/>
          <w:bCs/>
          <w:color w:val="0D7A77"/>
          <w:sz w:val="26"/>
          <w:szCs w:val="26"/>
        </w:rPr>
        <w:t xml:space="preserve">8.4 Monitoring and Continuous Oversight</w:t>
      </w:r>
    </w:p>
    <w:p>
      <w:pPr>
        <w:spacing w:after="120"/>
      </w:pPr>
      <w:r>
        <w:rPr>
          <w:rFonts w:ascii="Arial" w:cs="Arial" w:eastAsia="Arial" w:hAnsi="Arial"/>
          <w:b w:val="false"/>
          <w:bCs w:val="false"/>
          <w:color w:val="1A1A1A"/>
          <w:sz w:val="22"/>
          <w:szCs w:val="22"/>
        </w:rPr>
        <w:t xml:space="preserve">In accordance with ISO/IEC CD TS 25568 §8.13, ongoing monitoring of GenAI systems is required:</w:t>
      </w:r>
    </w:p>
    <w:p>
      <w:pPr>
        <w:spacing w:after="80"/>
      </w:pPr>
      <w:r>
        <w:t xml:space="preserve"/>
      </w:r>
    </w:p>
    <w:p>
      <w:pPr>
        <w:pStyle w:val="ListParagraph"/>
        <w:numPr>
          <w:ilvl w:val="0"/>
          <w:numId w:val="2"/>
        </w:numPr>
      </w:pPr>
      <w:r>
        <w:rPr>
          <w:rFonts w:ascii="Arial" w:cs="Arial" w:eastAsia="Arial" w:hAnsi="Arial"/>
          <w:color w:val="1A1A1A"/>
          <w:sz w:val="22"/>
          <w:szCs w:val="22"/>
        </w:rPr>
        <w:t xml:space="preserve">Implement human oversight to assess the quality, consistency, and veracity of generated content on a representative sample basis.</w:t>
      </w:r>
    </w:p>
    <w:p>
      <w:pPr>
        <w:pStyle w:val="ListParagraph"/>
        <w:numPr>
          <w:ilvl w:val="0"/>
          <w:numId w:val="2"/>
        </w:numPr>
      </w:pPr>
      <w:r>
        <w:rPr>
          <w:rFonts w:ascii="Arial" w:cs="Arial" w:eastAsia="Arial" w:hAnsi="Arial"/>
          <w:color w:val="1A1A1A"/>
          <w:sz w:val="22"/>
          <w:szCs w:val="22"/>
        </w:rPr>
        <w:t xml:space="preserve">Maintain logs of system inputs, outputs, and (where applicable) retrieval results to support auditability and root cause analysis.</w:t>
      </w:r>
    </w:p>
    <w:p>
      <w:pPr>
        <w:pStyle w:val="ListParagraph"/>
        <w:numPr>
          <w:ilvl w:val="0"/>
          <w:numId w:val="2"/>
        </w:numPr>
      </w:pPr>
      <w:r>
        <w:rPr>
          <w:rFonts w:ascii="Arial" w:cs="Arial" w:eastAsia="Arial" w:hAnsi="Arial"/>
          <w:color w:val="1A1A1A"/>
          <w:sz w:val="22"/>
          <w:szCs w:val="22"/>
        </w:rPr>
        <w:t xml:space="preserve">Conduct periodic review of AI system performance to detect drift, degradation, or changes in behaviour following model updates.</w:t>
      </w:r>
    </w:p>
    <w:p>
      <w:pPr>
        <w:pStyle w:val="ListParagraph"/>
        <w:numPr>
          <w:ilvl w:val="0"/>
          <w:numId w:val="2"/>
        </w:numPr>
      </w:pPr>
      <w:r>
        <w:rPr>
          <w:rFonts w:ascii="Arial" w:cs="Arial" w:eastAsia="Arial" w:hAnsi="Arial"/>
          <w:color w:val="1A1A1A"/>
          <w:sz w:val="22"/>
          <w:szCs w:val="22"/>
        </w:rPr>
        <w:t xml:space="preserve">Evaluate downstream effects of AI outputs on users, stakeholders, and — where applicable — patients, including harms related to confabulation, bias, or manipulation.</w:t>
      </w:r>
    </w:p>
    <w:p>
      <w:pPr>
        <w:pStyle w:val="ListParagraph"/>
        <w:numPr>
          <w:ilvl w:val="0"/>
          <w:numId w:val="2"/>
        </w:numPr>
      </w:pPr>
      <w:r>
        <w:rPr>
          <w:rFonts w:ascii="Arial" w:cs="Arial" w:eastAsia="Arial" w:hAnsi="Arial"/>
          <w:color w:val="1A1A1A"/>
          <w:sz w:val="22"/>
          <w:szCs w:val="22"/>
        </w:rPr>
        <w:t xml:space="preserve">Report significant AI quality events through the organisation's CAPA system.</w:t>
      </w:r>
    </w:p>
    <w:p>
      <w:pPr>
        <w:spacing w:after="80"/>
      </w:pPr>
      <w:r>
        <w:t xml:space="preserve"/>
      </w:r>
    </w:p>
    <w:p>
      <w:pPr>
        <w:pStyle w:val="Heading2"/>
        <w:spacing w:after="120" w:before="280"/>
      </w:pPr>
      <w:r>
        <w:rPr>
          <w:rFonts w:ascii="Arial" w:cs="Arial" w:eastAsia="Arial" w:hAnsi="Arial"/>
          <w:b/>
          <w:bCs/>
          <w:color w:val="0D7A77"/>
          <w:sz w:val="26"/>
          <w:szCs w:val="26"/>
        </w:rPr>
        <w:t xml:space="preserve">8.5 Training Requirements</w:t>
      </w:r>
    </w:p>
    <w:p>
      <w:pPr>
        <w:spacing w:after="120"/>
      </w:pPr>
      <w:r>
        <w:rPr>
          <w:rFonts w:ascii="Arial" w:cs="Arial" w:eastAsia="Arial" w:hAnsi="Arial"/>
          <w:b w:val="false"/>
          <w:bCs w:val="false"/>
          <w:color w:val="1A1A1A"/>
          <w:sz w:val="22"/>
          <w:szCs w:val="22"/>
        </w:rPr>
        <w:t xml:space="preserve">All staff who use, review, or supervise GenAI outputs shall complete training that covers, as a minimum:</w:t>
      </w:r>
    </w:p>
    <w:p>
      <w:pPr>
        <w:spacing w:after="80"/>
      </w:pPr>
      <w:r>
        <w:t xml:space="preserve"/>
      </w:r>
    </w:p>
    <w:p>
      <w:pPr>
        <w:pStyle w:val="ListParagraph"/>
        <w:numPr>
          <w:ilvl w:val="0"/>
          <w:numId w:val="2"/>
        </w:numPr>
      </w:pPr>
      <w:r>
        <w:rPr>
          <w:rFonts w:ascii="Arial" w:cs="Arial" w:eastAsia="Arial" w:hAnsi="Arial"/>
          <w:color w:val="1A1A1A"/>
          <w:sz w:val="22"/>
          <w:szCs w:val="22"/>
        </w:rPr>
        <w:t xml:space="preserve">The nature and limitations of GenAI systems, including confabulation, automation bias, and probabilistic output</w:t>
      </w:r>
    </w:p>
    <w:p>
      <w:pPr>
        <w:pStyle w:val="ListParagraph"/>
        <w:numPr>
          <w:ilvl w:val="0"/>
          <w:numId w:val="2"/>
        </w:numPr>
      </w:pPr>
      <w:r>
        <w:rPr>
          <w:rFonts w:ascii="Arial" w:cs="Arial" w:eastAsia="Arial" w:hAnsi="Arial"/>
          <w:color w:val="1A1A1A"/>
          <w:sz w:val="22"/>
          <w:szCs w:val="22"/>
        </w:rPr>
        <w:t xml:space="preserve">This organisation's AI policy and the AI Use Register process</w:t>
      </w:r>
    </w:p>
    <w:p>
      <w:pPr>
        <w:pStyle w:val="ListParagraph"/>
        <w:numPr>
          <w:ilvl w:val="0"/>
          <w:numId w:val="2"/>
        </w:numPr>
      </w:pPr>
      <w:r>
        <w:rPr>
          <w:rFonts w:ascii="Arial" w:cs="Arial" w:eastAsia="Arial" w:hAnsi="Arial"/>
          <w:color w:val="1A1A1A"/>
          <w:sz w:val="22"/>
          <w:szCs w:val="22"/>
        </w:rPr>
        <w:t xml:space="preserve">Data classification and prohibited data types for AI input</w:t>
      </w:r>
    </w:p>
    <w:p>
      <w:pPr>
        <w:pStyle w:val="ListParagraph"/>
        <w:numPr>
          <w:ilvl w:val="0"/>
          <w:numId w:val="2"/>
        </w:numPr>
      </w:pPr>
      <w:r>
        <w:rPr>
          <w:rFonts w:ascii="Arial" w:cs="Arial" w:eastAsia="Arial" w:hAnsi="Arial"/>
          <w:color w:val="1A1A1A"/>
          <w:sz w:val="22"/>
          <w:szCs w:val="22"/>
        </w:rPr>
        <w:t xml:space="preserve">Human oversight requirements and verification techniques</w:t>
      </w:r>
    </w:p>
    <w:p>
      <w:pPr>
        <w:pStyle w:val="ListParagraph"/>
        <w:numPr>
          <w:ilvl w:val="0"/>
          <w:numId w:val="2"/>
        </w:numPr>
      </w:pPr>
      <w:r>
        <w:rPr>
          <w:rFonts w:ascii="Arial" w:cs="Arial" w:eastAsia="Arial" w:hAnsi="Arial"/>
          <w:color w:val="1A1A1A"/>
          <w:sz w:val="22"/>
          <w:szCs w:val="22"/>
        </w:rPr>
        <w:t xml:space="preserve">How to report AI-related incidents and concerns</w:t>
      </w:r>
    </w:p>
    <w:p>
      <w:pPr>
        <w:spacing w:after="80"/>
      </w:pPr>
      <w:r>
        <w:t xml:space="preserve"/>
      </w:r>
    </w:p>
    <w:p>
      <w:pPr>
        <w:spacing w:after="120"/>
      </w:pPr>
      <w:r>
        <w:rPr>
          <w:rFonts w:ascii="Arial" w:cs="Arial" w:eastAsia="Arial" w:hAnsi="Arial"/>
          <w:b w:val="false"/>
          <w:bCs w:val="false"/>
          <w:color w:val="1A1A1A"/>
          <w:sz w:val="22"/>
          <w:szCs w:val="22"/>
        </w:rPr>
        <w:t xml:space="preserve">Training records shall be maintained in the organisation's training management system. Refresher training shall be conducted annually or following material updates to this policy.</w:t>
      </w:r>
    </w:p>
    <w:p>
      <w:pPr>
        <w:spacing w:after="80"/>
      </w:pPr>
      <w:r>
        <w:t xml:space="preserve"/>
      </w:r>
    </w:p>
    <w:p>
      <w:pPr>
        <w:pStyle w:val="Heading1"/>
        <w:pBdr>
          <w:bottom w:val="single" w:color="0D7A77" w:sz="6" w:space="4"/>
        </w:pBdr>
        <w:spacing w:after="180" w:before="360"/>
      </w:pPr>
      <w:r>
        <w:rPr>
          <w:rFonts w:ascii="Arial" w:cs="Arial" w:eastAsia="Arial" w:hAnsi="Arial"/>
          <w:b/>
          <w:bCs/>
          <w:color w:val="1B3A6B"/>
          <w:sz w:val="32"/>
          <w:szCs w:val="32"/>
        </w:rPr>
        <w:t xml:space="preserve">9. AI Incident Management</w:t>
      </w:r>
    </w:p>
    <w:p>
      <w:pPr>
        <w:spacing w:after="120"/>
      </w:pPr>
      <w:r>
        <w:rPr>
          <w:rFonts w:ascii="Arial" w:cs="Arial" w:eastAsia="Arial" w:hAnsi="Arial"/>
          <w:b w:val="false"/>
          <w:bCs w:val="false"/>
          <w:color w:val="1A1A1A"/>
          <w:sz w:val="22"/>
          <w:szCs w:val="22"/>
        </w:rPr>
        <w:t xml:space="preserve">AI-related incidents shall be managed through the organisation's existing quality management and information security incident processes, with the following AI-specific additions:</w:t>
      </w:r>
    </w:p>
    <w:p>
      <w:pPr>
        <w:spacing w:after="80"/>
      </w:pPr>
      <w:r>
        <w:t xml:space="preserve"/>
      </w:r>
    </w:p>
    <w:p>
      <w:pPr>
        <w:pStyle w:val="ListParagraph"/>
        <w:numPr>
          <w:ilvl w:val="0"/>
          <w:numId w:val="2"/>
        </w:numPr>
      </w:pPr>
      <w:r>
        <w:rPr>
          <w:rFonts w:ascii="Arial" w:cs="Arial" w:eastAsia="Arial" w:hAnsi="Arial"/>
          <w:color w:val="1A1A1A"/>
          <w:sz w:val="22"/>
          <w:szCs w:val="22"/>
        </w:rPr>
        <w:t xml:space="preserve">An AI incident is defined as any event where AI-generated content has been or could have been used in a regulated decision or document without appropriate verification, or where an AI system has behaved in an unexpected or harmful manner.</w:t>
      </w:r>
    </w:p>
    <w:p>
      <w:pPr>
        <w:pStyle w:val="ListParagraph"/>
        <w:numPr>
          <w:ilvl w:val="0"/>
          <w:numId w:val="2"/>
        </w:numPr>
      </w:pPr>
      <w:r>
        <w:rPr>
          <w:rFonts w:ascii="Arial" w:cs="Arial" w:eastAsia="Arial" w:hAnsi="Arial"/>
          <w:color w:val="1A1A1A"/>
          <w:sz w:val="22"/>
          <w:szCs w:val="22"/>
        </w:rPr>
        <w:t xml:space="preserve">All staff are required to report suspected AI incidents, including cases where confabulated content was detected during review.</w:t>
      </w:r>
    </w:p>
    <w:p>
      <w:pPr>
        <w:pStyle w:val="ListParagraph"/>
        <w:numPr>
          <w:ilvl w:val="0"/>
          <w:numId w:val="2"/>
        </w:numPr>
      </w:pPr>
      <w:r>
        <w:rPr>
          <w:rFonts w:ascii="Arial" w:cs="Arial" w:eastAsia="Arial" w:hAnsi="Arial"/>
          <w:color w:val="1A1A1A"/>
          <w:sz w:val="22"/>
          <w:szCs w:val="22"/>
        </w:rPr>
        <w:t xml:space="preserve">AI incidents shall be assessed for potential impact on product safety, data integrity, regulatory compliance, and privacy.</w:t>
      </w:r>
    </w:p>
    <w:p>
      <w:pPr>
        <w:pStyle w:val="ListParagraph"/>
        <w:numPr>
          <w:ilvl w:val="0"/>
          <w:numId w:val="2"/>
        </w:numPr>
      </w:pPr>
      <w:r>
        <w:rPr>
          <w:rFonts w:ascii="Arial" w:cs="Arial" w:eastAsia="Arial" w:hAnsi="Arial"/>
          <w:color w:val="1A1A1A"/>
          <w:sz w:val="22"/>
          <w:szCs w:val="22"/>
        </w:rPr>
        <w:t xml:space="preserve">Root cause analysis shall consider both the technical failure mode and whether the human oversight process functioned as intended.</w:t>
      </w:r>
    </w:p>
    <w:p>
      <w:pPr>
        <w:pStyle w:val="ListParagraph"/>
        <w:numPr>
          <w:ilvl w:val="0"/>
          <w:numId w:val="2"/>
        </w:numPr>
      </w:pPr>
      <w:r>
        <w:rPr>
          <w:rFonts w:ascii="Arial" w:cs="Arial" w:eastAsia="Arial" w:hAnsi="Arial"/>
          <w:color w:val="1A1A1A"/>
          <w:sz w:val="22"/>
          <w:szCs w:val="22"/>
        </w:rPr>
        <w:t xml:space="preserve">Trending of AI incidents shall be reviewed at Management Review.</w:t>
      </w:r>
    </w:p>
    <w:p>
      <w:pPr>
        <w:pStyle w:val="ListParagraph"/>
        <w:numPr>
          <w:ilvl w:val="0"/>
          <w:numId w:val="2"/>
        </w:numPr>
      </w:pPr>
      <w:r>
        <w:rPr>
          <w:rFonts w:ascii="Arial" w:cs="Arial" w:eastAsia="Arial" w:hAnsi="Arial"/>
          <w:color w:val="1A1A1A"/>
          <w:sz w:val="22"/>
          <w:szCs w:val="22"/>
        </w:rPr>
        <w:t xml:space="preserve">Where an AI incident involves a medical device or regulated product, the organisation's post-market surveillance and vigilance processes shall be invoked as applicable.</w:t>
      </w:r>
    </w:p>
    <w:p>
      <w:pPr>
        <w:spacing w:after="80"/>
      </w:pPr>
      <w:r>
        <w:t xml:space="preserve"/>
      </w:r>
    </w:p>
    <w:p>
      <w:pPr>
        <w:pStyle w:val="Heading1"/>
        <w:pBdr>
          <w:bottom w:val="single" w:color="0D7A77" w:sz="6" w:space="4"/>
        </w:pBdr>
        <w:spacing w:after="180" w:before="360"/>
      </w:pPr>
      <w:r>
        <w:rPr>
          <w:rFonts w:ascii="Arial" w:cs="Arial" w:eastAsia="Arial" w:hAnsi="Arial"/>
          <w:b/>
          <w:bCs/>
          <w:color w:val="1B3A6B"/>
          <w:sz w:val="32"/>
          <w:szCs w:val="32"/>
        </w:rPr>
        <w:t xml:space="preserve">10. Document Review and Maintenance</w:t>
      </w:r>
    </w:p>
    <w:p>
      <w:pPr>
        <w:spacing w:after="120"/>
      </w:pPr>
      <w:r>
        <w:rPr>
          <w:rFonts w:ascii="Arial" w:cs="Arial" w:eastAsia="Arial" w:hAnsi="Arial"/>
          <w:b w:val="false"/>
          <w:bCs w:val="false"/>
          <w:color w:val="1A1A1A"/>
          <w:sz w:val="22"/>
          <w:szCs w:val="22"/>
        </w:rPr>
        <w:t xml:space="preserve">This procedure shall be reviewed at least annually and updated to reflect:</w:t>
      </w:r>
    </w:p>
    <w:p>
      <w:pPr>
        <w:spacing w:after="80"/>
      </w:pPr>
      <w:r>
        <w:t xml:space="preserve"/>
      </w:r>
    </w:p>
    <w:p>
      <w:pPr>
        <w:pStyle w:val="ListParagraph"/>
        <w:numPr>
          <w:ilvl w:val="0"/>
          <w:numId w:val="2"/>
        </w:numPr>
      </w:pPr>
      <w:r>
        <w:rPr>
          <w:rFonts w:ascii="Arial" w:cs="Arial" w:eastAsia="Arial" w:hAnsi="Arial"/>
          <w:color w:val="1A1A1A"/>
          <w:sz w:val="22"/>
          <w:szCs w:val="22"/>
        </w:rPr>
        <w:t xml:space="preserve">Publication or revision of applicable standards, including ISO/IEC TS 25568 upon finalisation</w:t>
      </w:r>
    </w:p>
    <w:p>
      <w:pPr>
        <w:pStyle w:val="ListParagraph"/>
        <w:numPr>
          <w:ilvl w:val="0"/>
          <w:numId w:val="2"/>
        </w:numPr>
      </w:pPr>
      <w:r>
        <w:rPr>
          <w:rFonts w:ascii="Arial" w:cs="Arial" w:eastAsia="Arial" w:hAnsi="Arial"/>
          <w:color w:val="1A1A1A"/>
          <w:sz w:val="22"/>
          <w:szCs w:val="22"/>
        </w:rPr>
        <w:t xml:space="preserve">Changes in applicable regulatory requirements (EU AI Act implementing acts, MDR/IVDR guidance, FDA AI/ML guidance)</w:t>
      </w:r>
    </w:p>
    <w:p>
      <w:pPr>
        <w:pStyle w:val="ListParagraph"/>
        <w:numPr>
          <w:ilvl w:val="0"/>
          <w:numId w:val="2"/>
        </w:numPr>
      </w:pPr>
      <w:r>
        <w:rPr>
          <w:rFonts w:ascii="Arial" w:cs="Arial" w:eastAsia="Arial" w:hAnsi="Arial"/>
          <w:color w:val="1A1A1A"/>
          <w:sz w:val="22"/>
          <w:szCs w:val="22"/>
        </w:rPr>
        <w:t xml:space="preserve">Significant changes to the organisation's AI use landscape</w:t>
      </w:r>
    </w:p>
    <w:p>
      <w:pPr>
        <w:pStyle w:val="ListParagraph"/>
        <w:numPr>
          <w:ilvl w:val="0"/>
          <w:numId w:val="2"/>
        </w:numPr>
      </w:pPr>
      <w:r>
        <w:rPr>
          <w:rFonts w:ascii="Arial" w:cs="Arial" w:eastAsia="Arial" w:hAnsi="Arial"/>
          <w:color w:val="1A1A1A"/>
          <w:sz w:val="22"/>
          <w:szCs w:val="22"/>
        </w:rPr>
        <w:t xml:space="preserve">Lessons learned from AI incidents or near-misses</w:t>
      </w:r>
    </w:p>
    <w:p>
      <w:pPr>
        <w:pStyle w:val="ListParagraph"/>
        <w:numPr>
          <w:ilvl w:val="0"/>
          <w:numId w:val="2"/>
        </w:numPr>
      </w:pPr>
      <w:r>
        <w:rPr>
          <w:rFonts w:ascii="Arial" w:cs="Arial" w:eastAsia="Arial" w:hAnsi="Arial"/>
          <w:color w:val="1A1A1A"/>
          <w:sz w:val="22"/>
          <w:szCs w:val="22"/>
        </w:rPr>
        <w:t xml:space="preserve">Changes in the capabilities and risk profile of GenAI technologies</w:t>
      </w:r>
    </w:p>
    <w:p>
      <w:pPr>
        <w:spacing w:after="80"/>
      </w:pPr>
      <w:r>
        <w:t xml:space="preserve"/>
      </w:r>
    </w:p>
    <w:p>
      <w:pPr>
        <w:pStyle w:val="Heading1"/>
        <w:pBdr>
          <w:bottom w:val="single" w:color="0D7A77" w:sz="6" w:space="4"/>
        </w:pBdr>
        <w:spacing w:after="180" w:before="360"/>
      </w:pPr>
      <w:r>
        <w:rPr>
          <w:rFonts w:ascii="Arial" w:cs="Arial" w:eastAsia="Arial" w:hAnsi="Arial"/>
          <w:b/>
          <w:bCs/>
          <w:color w:val="1B3A6B"/>
          <w:sz w:val="32"/>
          <w:szCs w:val="32"/>
        </w:rPr>
        <w:t xml:space="preserve">11. References and Supporting Documents</w:t>
      </w:r>
    </w:p>
    <w:p>
      <w:pPr>
        <w:pStyle w:val="ListParagraph"/>
        <w:numPr>
          <w:ilvl w:val="0"/>
          <w:numId w:val="2"/>
        </w:numPr>
      </w:pPr>
      <w:r>
        <w:rPr>
          <w:rFonts w:ascii="Arial" w:cs="Arial" w:eastAsia="Arial" w:hAnsi="Arial"/>
          <w:color w:val="1A1A1A"/>
          <w:sz w:val="22"/>
          <w:szCs w:val="22"/>
        </w:rPr>
        <w:t xml:space="preserve">AI Use Register [Internal Document Reference]</w:t>
      </w:r>
    </w:p>
    <w:p>
      <w:pPr>
        <w:pStyle w:val="ListParagraph"/>
        <w:numPr>
          <w:ilvl w:val="0"/>
          <w:numId w:val="2"/>
        </w:numPr>
      </w:pPr>
      <w:r>
        <w:rPr>
          <w:rFonts w:ascii="Arial" w:cs="Arial" w:eastAsia="Arial" w:hAnsi="Arial"/>
          <w:color w:val="1A1A1A"/>
          <w:sz w:val="22"/>
          <w:szCs w:val="22"/>
        </w:rPr>
        <w:t xml:space="preserve">AI Vendor Assessment Form [Internal Document Reference]</w:t>
      </w:r>
    </w:p>
    <w:p>
      <w:pPr>
        <w:pStyle w:val="ListParagraph"/>
        <w:numPr>
          <w:ilvl w:val="0"/>
          <w:numId w:val="2"/>
        </w:numPr>
      </w:pPr>
      <w:r>
        <w:rPr>
          <w:rFonts w:ascii="Arial" w:cs="Arial" w:eastAsia="Arial" w:hAnsi="Arial"/>
          <w:color w:val="1A1A1A"/>
          <w:sz w:val="22"/>
          <w:szCs w:val="22"/>
        </w:rPr>
        <w:t xml:space="preserve">AI Literacy Training Record [Internal Document Reference]</w:t>
      </w:r>
    </w:p>
    <w:p>
      <w:pPr>
        <w:pStyle w:val="ListParagraph"/>
        <w:numPr>
          <w:ilvl w:val="0"/>
          <w:numId w:val="2"/>
        </w:numPr>
      </w:pPr>
      <w:r>
        <w:rPr>
          <w:rFonts w:ascii="Arial" w:cs="Arial" w:eastAsia="Arial" w:hAnsi="Arial"/>
          <w:color w:val="1A1A1A"/>
          <w:sz w:val="22"/>
          <w:szCs w:val="22"/>
        </w:rPr>
        <w:t xml:space="preserve">DPIA Process Procedure [Internal Document Reference]</w:t>
      </w:r>
    </w:p>
    <w:p>
      <w:pPr>
        <w:pStyle w:val="ListParagraph"/>
        <w:numPr>
          <w:ilvl w:val="0"/>
          <w:numId w:val="2"/>
        </w:numPr>
      </w:pPr>
      <w:r>
        <w:rPr>
          <w:rFonts w:ascii="Arial" w:cs="Arial" w:eastAsia="Arial" w:hAnsi="Arial"/>
          <w:color w:val="1A1A1A"/>
          <w:sz w:val="22"/>
          <w:szCs w:val="22"/>
        </w:rPr>
        <w:t xml:space="preserve">Software Validation Procedure [Internal Document Reference]</w:t>
      </w:r>
    </w:p>
    <w:p>
      <w:pPr>
        <w:pStyle w:val="ListParagraph"/>
        <w:numPr>
          <w:ilvl w:val="0"/>
          <w:numId w:val="2"/>
        </w:numPr>
      </w:pPr>
      <w:r>
        <w:rPr>
          <w:rFonts w:ascii="Arial" w:cs="Arial" w:eastAsia="Arial" w:hAnsi="Arial"/>
          <w:color w:val="1A1A1A"/>
          <w:sz w:val="22"/>
          <w:szCs w:val="22"/>
        </w:rPr>
        <w:t xml:space="preserve">AI/ML Change Management Plan (for AIeMD/SaMD products) [Internal Document Reference]</w:t>
      </w:r>
    </w:p>
    <w:p>
      <w:pPr>
        <w:pStyle w:val="ListParagraph"/>
        <w:numPr>
          <w:ilvl w:val="0"/>
          <w:numId w:val="2"/>
        </w:numPr>
      </w:pPr>
      <w:r>
        <w:rPr>
          <w:rFonts w:ascii="Arial" w:cs="Arial" w:eastAsia="Arial" w:hAnsi="Arial"/>
          <w:color w:val="1A1A1A"/>
          <w:sz w:val="22"/>
          <w:szCs w:val="22"/>
        </w:rPr>
        <w:t xml:space="preserve">CAPA Procedure [Internal Document Reference]</w:t>
      </w:r>
    </w:p>
    <w:p>
      <w:pPr>
        <w:pStyle w:val="ListParagraph"/>
        <w:numPr>
          <w:ilvl w:val="0"/>
          <w:numId w:val="2"/>
        </w:numPr>
      </w:pPr>
      <w:r>
        <w:rPr>
          <w:rFonts w:ascii="Arial" w:cs="Arial" w:eastAsia="Arial" w:hAnsi="Arial"/>
          <w:color w:val="1A1A1A"/>
          <w:sz w:val="22"/>
          <w:szCs w:val="22"/>
        </w:rPr>
        <w:t xml:space="preserve">Information Security Incident Management Procedure [Internal Document Reference]</w:t>
      </w:r>
    </w:p>
    <w:p>
      <w:pPr>
        <w:spacing w:after="80"/>
      </w:pPr>
      <w:r>
        <w:t xml:space="preserve"/>
      </w:r>
    </w:p>
    <w:p>
      <w:pPr>
        <w:spacing w:after="80"/>
      </w:pPr>
      <w:r>
        <w:t xml:space="preserve"/>
      </w:r>
    </w:p>
    <w:p>
      <w:pPr>
        <w:pStyle w:val="Heading1"/>
        <w:pBdr>
          <w:bottom w:val="single" w:color="0D7A77" w:sz="6" w:space="4"/>
        </w:pBdr>
        <w:spacing w:after="180" w:before="360"/>
      </w:pPr>
      <w:r>
        <w:rPr>
          <w:rFonts w:ascii="Arial" w:cs="Arial" w:eastAsia="Arial" w:hAnsi="Arial"/>
          <w:b/>
          <w:bCs/>
          <w:color w:val="1B3A6B"/>
          <w:sz w:val="32"/>
          <w:szCs w:val="32"/>
        </w:rPr>
        <w:t xml:space="preserve">Document Approval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360"/>
        <w:gridCol w:w="1800"/>
        <w:gridCol w:w="1800"/>
      </w:tblGrid>
      <w:tr>
        <w:trPr>
          <w:tblHeader/>
        </w:trPr>
        <w:tc>
          <w:tcPr>
            <w:tcW w:type="dxa" w:w="240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Role</w:t>
            </w:r>
          </w:p>
        </w:tc>
        <w:tc>
          <w:tcPr>
            <w:tcW w:type="dxa" w:w="336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180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Signature</w:t>
            </w:r>
          </w:p>
        </w:tc>
        <w:tc>
          <w:tcPr>
            <w:tcW w:type="dxa" w:w="1800"/>
            <w:tcBorders>
              <w:top w:val="single" w:color="DDDDDD" w:sz="1"/>
              <w:left w:val="single" w:color="DDDDDD" w:sz="1"/>
              <w:bottom w:val="single" w:color="DDDDDD" w:sz="1"/>
              <w:right w:val="single" w:color="DDDDDD"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Date</w:t>
            </w:r>
          </w:p>
        </w:tc>
      </w:tr>
      <w:tr>
        <w:tc>
          <w:tcPr>
            <w:tcW w:type="dxa" w:w="2400"/>
            <w:tcBorders>
              <w:top w:val="single" w:color="DDDDDD" w:sz="1"/>
              <w:left w:val="single" w:color="DDDDDD" w:sz="1"/>
              <w:bottom w:val="single" w:color="DDDDDD" w:sz="1"/>
              <w:right w:val="single" w:color="DDDDDD" w:sz="1"/>
            </w:tcBorders>
            <w:shd w:fill="F2F2F2" w:val="clear"/>
            <w:tcMar>
              <w:top w:type="dxa" w:w="120"/>
              <w:left w:type="dxa" w:w="120"/>
              <w:bottom w:type="dxa" w:w="120"/>
              <w:right w:type="dxa" w:w="120"/>
            </w:tcMar>
          </w:tcPr>
          <w:p>
            <w:r>
              <w:rPr>
                <w:rFonts w:ascii="Arial" w:cs="Arial" w:eastAsia="Arial" w:hAnsi="Arial"/>
                <w:color w:val="1A1A1A"/>
                <w:sz w:val="20"/>
                <w:szCs w:val="20"/>
              </w:rPr>
              <w:t xml:space="preserve">Document Author</w:t>
            </w:r>
          </w:p>
        </w:tc>
        <w:tc>
          <w:tcPr>
            <w:tcW w:type="dxa" w:w="3360"/>
            <w:tcBorders>
              <w:top w:val="single" w:color="DDDDDD" w:sz="1"/>
              <w:left w:val="single" w:color="DDDDDD" w:sz="1"/>
              <w:bottom w:val="single" w:color="DDDDDD" w:sz="1"/>
              <w:right w:val="single" w:color="DDDDDD" w:sz="1"/>
            </w:tcBorders>
            <w:shd w:fill="F2F2F2" w:val="clear"/>
            <w:tcMar>
              <w:top w:type="dxa" w:w="120"/>
              <w:left w:type="dxa" w:w="120"/>
              <w:bottom w:type="dxa" w:w="120"/>
              <w:right w:type="dxa" w:w="120"/>
            </w:tcMar>
          </w:tcPr>
          <w:p>
            <w:r>
              <w:rPr>
                <w:rFonts w:ascii="Arial" w:cs="Arial" w:eastAsia="Arial" w:hAnsi="Arial"/>
                <w:color w:val="1A1A1A"/>
                <w:sz w:val="20"/>
                <w:szCs w:val="20"/>
              </w:rPr>
              <w:t xml:space="preserve"> </w:t>
            </w:r>
          </w:p>
        </w:tc>
        <w:tc>
          <w:tcPr>
            <w:tcW w:type="dxa" w:w="1800"/>
            <w:tcBorders>
              <w:top w:val="single" w:color="DDDDDD" w:sz="1"/>
              <w:left w:val="single" w:color="DDDDDD" w:sz="1"/>
              <w:bottom w:val="single" w:color="DDDDDD" w:sz="1"/>
              <w:right w:val="single" w:color="DDDDDD" w:sz="1"/>
            </w:tcBorders>
            <w:shd w:fill="F2F2F2" w:val="clear"/>
            <w:tcMar>
              <w:top w:type="dxa" w:w="120"/>
              <w:left w:type="dxa" w:w="120"/>
              <w:bottom w:type="dxa" w:w="120"/>
              <w:right w:type="dxa" w:w="120"/>
            </w:tcMar>
          </w:tcPr>
          <w:p>
            <w:r>
              <w:rPr>
                <w:rFonts w:ascii="Arial" w:cs="Arial" w:eastAsia="Arial" w:hAnsi="Arial"/>
                <w:color w:val="1A1A1A"/>
                <w:sz w:val="20"/>
                <w:szCs w:val="20"/>
              </w:rPr>
              <w:t xml:space="preserve"> </w:t>
            </w:r>
          </w:p>
        </w:tc>
        <w:tc>
          <w:tcPr>
            <w:tcW w:type="dxa" w:w="1800"/>
            <w:tcBorders>
              <w:top w:val="single" w:color="DDDDDD" w:sz="1"/>
              <w:left w:val="single" w:color="DDDDDD" w:sz="1"/>
              <w:bottom w:val="single" w:color="DDDDDD" w:sz="1"/>
              <w:right w:val="single" w:color="DDDDDD" w:sz="1"/>
            </w:tcBorders>
            <w:shd w:fill="F2F2F2" w:val="clear"/>
            <w:tcMar>
              <w:top w:type="dxa" w:w="120"/>
              <w:left w:type="dxa" w:w="120"/>
              <w:bottom w:type="dxa" w:w="120"/>
              <w:right w:type="dxa" w:w="120"/>
            </w:tcMar>
          </w:tcPr>
          <w:p>
            <w:r>
              <w:rPr>
                <w:rFonts w:ascii="Arial" w:cs="Arial" w:eastAsia="Arial" w:hAnsi="Arial"/>
                <w:color w:val="1A1A1A"/>
                <w:sz w:val="20"/>
                <w:szCs w:val="20"/>
              </w:rPr>
              <w:t xml:space="preserve"> </w:t>
            </w:r>
          </w:p>
        </w:tc>
      </w:tr>
      <w:tr>
        <w:tc>
          <w:tcPr>
            <w:tcW w:type="dxa" w:w="2400"/>
            <w:tcBorders>
              <w:top w:val="single" w:color="DDDDDD" w:sz="1"/>
              <w:left w:val="single" w:color="DDDDDD" w:sz="1"/>
              <w:bottom w:val="single" w:color="DDDDDD" w:sz="1"/>
              <w:right w:val="single" w:color="DDDDDD" w:sz="1"/>
            </w:tcBorders>
            <w:shd w:fill="F2F2F2" w:val="clear"/>
            <w:tcMar>
              <w:top w:type="dxa" w:w="120"/>
              <w:left w:type="dxa" w:w="120"/>
              <w:bottom w:type="dxa" w:w="120"/>
              <w:right w:type="dxa" w:w="120"/>
            </w:tcMar>
          </w:tcPr>
          <w:p>
            <w:r>
              <w:rPr>
                <w:rFonts w:ascii="Arial" w:cs="Arial" w:eastAsia="Arial" w:hAnsi="Arial"/>
                <w:color w:val="1A1A1A"/>
                <w:sz w:val="20"/>
                <w:szCs w:val="20"/>
              </w:rPr>
              <w:t xml:space="preserve">Quality / RA Review</w:t>
            </w:r>
          </w:p>
        </w:tc>
        <w:tc>
          <w:tcPr>
            <w:tcW w:type="dxa" w:w="3360"/>
            <w:tcBorders>
              <w:top w:val="single" w:color="DDDDDD" w:sz="1"/>
              <w:left w:val="single" w:color="DDDDDD" w:sz="1"/>
              <w:bottom w:val="single" w:color="DDDDDD" w:sz="1"/>
              <w:right w:val="single" w:color="DDDDDD" w:sz="1"/>
            </w:tcBorders>
            <w:shd w:fill="F2F2F2" w:val="clear"/>
            <w:tcMar>
              <w:top w:type="dxa" w:w="120"/>
              <w:left w:type="dxa" w:w="120"/>
              <w:bottom w:type="dxa" w:w="120"/>
              <w:right w:type="dxa" w:w="120"/>
            </w:tcMar>
          </w:tcPr>
          <w:p>
            <w:r>
              <w:rPr>
                <w:rFonts w:ascii="Arial" w:cs="Arial" w:eastAsia="Arial" w:hAnsi="Arial"/>
                <w:color w:val="1A1A1A"/>
                <w:sz w:val="20"/>
                <w:szCs w:val="20"/>
              </w:rPr>
              <w:t xml:space="preserve"> </w:t>
            </w:r>
          </w:p>
        </w:tc>
        <w:tc>
          <w:tcPr>
            <w:tcW w:type="dxa" w:w="1800"/>
            <w:tcBorders>
              <w:top w:val="single" w:color="DDDDDD" w:sz="1"/>
              <w:left w:val="single" w:color="DDDDDD" w:sz="1"/>
              <w:bottom w:val="single" w:color="DDDDDD" w:sz="1"/>
              <w:right w:val="single" w:color="DDDDDD" w:sz="1"/>
            </w:tcBorders>
            <w:shd w:fill="F2F2F2" w:val="clear"/>
            <w:tcMar>
              <w:top w:type="dxa" w:w="120"/>
              <w:left w:type="dxa" w:w="120"/>
              <w:bottom w:type="dxa" w:w="120"/>
              <w:right w:type="dxa" w:w="120"/>
            </w:tcMar>
          </w:tcPr>
          <w:p>
            <w:r>
              <w:rPr>
                <w:rFonts w:ascii="Arial" w:cs="Arial" w:eastAsia="Arial" w:hAnsi="Arial"/>
                <w:color w:val="1A1A1A"/>
                <w:sz w:val="20"/>
                <w:szCs w:val="20"/>
              </w:rPr>
              <w:t xml:space="preserve"> </w:t>
            </w:r>
          </w:p>
        </w:tc>
        <w:tc>
          <w:tcPr>
            <w:tcW w:type="dxa" w:w="1800"/>
            <w:tcBorders>
              <w:top w:val="single" w:color="DDDDDD" w:sz="1"/>
              <w:left w:val="single" w:color="DDDDDD" w:sz="1"/>
              <w:bottom w:val="single" w:color="DDDDDD" w:sz="1"/>
              <w:right w:val="single" w:color="DDDDDD" w:sz="1"/>
            </w:tcBorders>
            <w:shd w:fill="F2F2F2" w:val="clear"/>
            <w:tcMar>
              <w:top w:type="dxa" w:w="120"/>
              <w:left w:type="dxa" w:w="120"/>
              <w:bottom w:type="dxa" w:w="120"/>
              <w:right w:type="dxa" w:w="120"/>
            </w:tcMar>
          </w:tcPr>
          <w:p>
            <w:r>
              <w:rPr>
                <w:rFonts w:ascii="Arial" w:cs="Arial" w:eastAsia="Arial" w:hAnsi="Arial"/>
                <w:color w:val="1A1A1A"/>
                <w:sz w:val="20"/>
                <w:szCs w:val="20"/>
              </w:rPr>
              <w:t xml:space="preserve"> </w:t>
            </w:r>
          </w:p>
        </w:tc>
      </w:tr>
      <w:tr>
        <w:tc>
          <w:tcPr>
            <w:tcW w:type="dxa" w:w="2400"/>
            <w:tcBorders>
              <w:top w:val="single" w:color="DDDDDD" w:sz="1"/>
              <w:left w:val="single" w:color="DDDDDD" w:sz="1"/>
              <w:bottom w:val="single" w:color="DDDDDD" w:sz="1"/>
              <w:right w:val="single" w:color="DDDDDD" w:sz="1"/>
            </w:tcBorders>
            <w:shd w:fill="F2F2F2" w:val="clear"/>
            <w:tcMar>
              <w:top w:type="dxa" w:w="120"/>
              <w:left w:type="dxa" w:w="120"/>
              <w:bottom w:type="dxa" w:w="120"/>
              <w:right w:type="dxa" w:w="120"/>
            </w:tcMar>
          </w:tcPr>
          <w:p>
            <w:r>
              <w:rPr>
                <w:rFonts w:ascii="Arial" w:cs="Arial" w:eastAsia="Arial" w:hAnsi="Arial"/>
                <w:color w:val="1A1A1A"/>
                <w:sz w:val="20"/>
                <w:szCs w:val="20"/>
              </w:rPr>
              <w:t xml:space="preserve">Senior Management Approval</w:t>
            </w:r>
          </w:p>
        </w:tc>
        <w:tc>
          <w:tcPr>
            <w:tcW w:type="dxa" w:w="3360"/>
            <w:tcBorders>
              <w:top w:val="single" w:color="DDDDDD" w:sz="1"/>
              <w:left w:val="single" w:color="DDDDDD" w:sz="1"/>
              <w:bottom w:val="single" w:color="DDDDDD" w:sz="1"/>
              <w:right w:val="single" w:color="DDDDDD" w:sz="1"/>
            </w:tcBorders>
            <w:shd w:fill="F2F2F2" w:val="clear"/>
            <w:tcMar>
              <w:top w:type="dxa" w:w="120"/>
              <w:left w:type="dxa" w:w="120"/>
              <w:bottom w:type="dxa" w:w="120"/>
              <w:right w:type="dxa" w:w="120"/>
            </w:tcMar>
          </w:tcPr>
          <w:p>
            <w:r>
              <w:rPr>
                <w:rFonts w:ascii="Arial" w:cs="Arial" w:eastAsia="Arial" w:hAnsi="Arial"/>
                <w:color w:val="1A1A1A"/>
                <w:sz w:val="20"/>
                <w:szCs w:val="20"/>
              </w:rPr>
              <w:t xml:space="preserve"> </w:t>
            </w:r>
          </w:p>
        </w:tc>
        <w:tc>
          <w:tcPr>
            <w:tcW w:type="dxa" w:w="1800"/>
            <w:tcBorders>
              <w:top w:val="single" w:color="DDDDDD" w:sz="1"/>
              <w:left w:val="single" w:color="DDDDDD" w:sz="1"/>
              <w:bottom w:val="single" w:color="DDDDDD" w:sz="1"/>
              <w:right w:val="single" w:color="DDDDDD" w:sz="1"/>
            </w:tcBorders>
            <w:shd w:fill="F2F2F2" w:val="clear"/>
            <w:tcMar>
              <w:top w:type="dxa" w:w="120"/>
              <w:left w:type="dxa" w:w="120"/>
              <w:bottom w:type="dxa" w:w="120"/>
              <w:right w:type="dxa" w:w="120"/>
            </w:tcMar>
          </w:tcPr>
          <w:p>
            <w:r>
              <w:rPr>
                <w:rFonts w:ascii="Arial" w:cs="Arial" w:eastAsia="Arial" w:hAnsi="Arial"/>
                <w:color w:val="1A1A1A"/>
                <w:sz w:val="20"/>
                <w:szCs w:val="20"/>
              </w:rPr>
              <w:t xml:space="preserve"> </w:t>
            </w:r>
          </w:p>
        </w:tc>
        <w:tc>
          <w:tcPr>
            <w:tcW w:type="dxa" w:w="1800"/>
            <w:tcBorders>
              <w:top w:val="single" w:color="DDDDDD" w:sz="1"/>
              <w:left w:val="single" w:color="DDDDDD" w:sz="1"/>
              <w:bottom w:val="single" w:color="DDDDDD" w:sz="1"/>
              <w:right w:val="single" w:color="DDDDDD" w:sz="1"/>
            </w:tcBorders>
            <w:shd w:fill="F2F2F2" w:val="clear"/>
            <w:tcMar>
              <w:top w:type="dxa" w:w="120"/>
              <w:left w:type="dxa" w:w="120"/>
              <w:bottom w:type="dxa" w:w="120"/>
              <w:right w:type="dxa" w:w="120"/>
            </w:tcMar>
          </w:tcPr>
          <w:p>
            <w:r>
              <w:rPr>
                <w:rFonts w:ascii="Arial" w:cs="Arial" w:eastAsia="Arial" w:hAnsi="Arial"/>
                <w:color w:val="1A1A1A"/>
                <w:sz w:val="20"/>
                <w:szCs w:val="20"/>
              </w:rPr>
              <w:t xml:space="preserve"> </w:t>
            </w:r>
          </w:p>
        </w:tc>
      </w:tr>
      <w:tr>
        <w:tc>
          <w:tcPr>
            <w:tcW w:type="dxa" w:w="2400"/>
            <w:tcBorders>
              <w:top w:val="single" w:color="DDDDDD" w:sz="1"/>
              <w:left w:val="single" w:color="DDDDDD" w:sz="1"/>
              <w:bottom w:val="single" w:color="DDDDDD" w:sz="1"/>
              <w:right w:val="single" w:color="DDDDDD" w:sz="1"/>
            </w:tcBorders>
            <w:shd w:fill="F2F2F2" w:val="clear"/>
            <w:tcMar>
              <w:top w:type="dxa" w:w="120"/>
              <w:left w:type="dxa" w:w="120"/>
              <w:bottom w:type="dxa" w:w="120"/>
              <w:right w:type="dxa" w:w="120"/>
            </w:tcMar>
          </w:tcPr>
          <w:p>
            <w:r>
              <w:rPr>
                <w:rFonts w:ascii="Arial" w:cs="Arial" w:eastAsia="Arial" w:hAnsi="Arial"/>
                <w:color w:val="1A1A1A"/>
                <w:sz w:val="20"/>
                <w:szCs w:val="20"/>
              </w:rPr>
              <w:t xml:space="preserve">Document Controller</w:t>
            </w:r>
          </w:p>
        </w:tc>
        <w:tc>
          <w:tcPr>
            <w:tcW w:type="dxa" w:w="3360"/>
            <w:tcBorders>
              <w:top w:val="single" w:color="DDDDDD" w:sz="1"/>
              <w:left w:val="single" w:color="DDDDDD" w:sz="1"/>
              <w:bottom w:val="single" w:color="DDDDDD" w:sz="1"/>
              <w:right w:val="single" w:color="DDDDDD" w:sz="1"/>
            </w:tcBorders>
            <w:shd w:fill="F2F2F2" w:val="clear"/>
            <w:tcMar>
              <w:top w:type="dxa" w:w="120"/>
              <w:left w:type="dxa" w:w="120"/>
              <w:bottom w:type="dxa" w:w="120"/>
              <w:right w:type="dxa" w:w="120"/>
            </w:tcMar>
          </w:tcPr>
          <w:p>
            <w:r>
              <w:rPr>
                <w:rFonts w:ascii="Arial" w:cs="Arial" w:eastAsia="Arial" w:hAnsi="Arial"/>
                <w:color w:val="1A1A1A"/>
                <w:sz w:val="20"/>
                <w:szCs w:val="20"/>
              </w:rPr>
              <w:t xml:space="preserve"> </w:t>
            </w:r>
          </w:p>
        </w:tc>
        <w:tc>
          <w:tcPr>
            <w:tcW w:type="dxa" w:w="1800"/>
            <w:tcBorders>
              <w:top w:val="single" w:color="DDDDDD" w:sz="1"/>
              <w:left w:val="single" w:color="DDDDDD" w:sz="1"/>
              <w:bottom w:val="single" w:color="DDDDDD" w:sz="1"/>
              <w:right w:val="single" w:color="DDDDDD" w:sz="1"/>
            </w:tcBorders>
            <w:shd w:fill="F2F2F2" w:val="clear"/>
            <w:tcMar>
              <w:top w:type="dxa" w:w="120"/>
              <w:left w:type="dxa" w:w="120"/>
              <w:bottom w:type="dxa" w:w="120"/>
              <w:right w:type="dxa" w:w="120"/>
            </w:tcMar>
          </w:tcPr>
          <w:p>
            <w:r>
              <w:rPr>
                <w:rFonts w:ascii="Arial" w:cs="Arial" w:eastAsia="Arial" w:hAnsi="Arial"/>
                <w:color w:val="1A1A1A"/>
                <w:sz w:val="20"/>
                <w:szCs w:val="20"/>
              </w:rPr>
              <w:t xml:space="preserve"> </w:t>
            </w:r>
          </w:p>
        </w:tc>
        <w:tc>
          <w:tcPr>
            <w:tcW w:type="dxa" w:w="1800"/>
            <w:tcBorders>
              <w:top w:val="single" w:color="DDDDDD" w:sz="1"/>
              <w:left w:val="single" w:color="DDDDDD" w:sz="1"/>
              <w:bottom w:val="single" w:color="DDDDDD" w:sz="1"/>
              <w:right w:val="single" w:color="DDDDDD" w:sz="1"/>
            </w:tcBorders>
            <w:shd w:fill="F2F2F2" w:val="clear"/>
            <w:tcMar>
              <w:top w:type="dxa" w:w="120"/>
              <w:left w:type="dxa" w:w="120"/>
              <w:bottom w:type="dxa" w:w="120"/>
              <w:right w:type="dxa" w:w="120"/>
            </w:tcMar>
          </w:tcPr>
          <w:p>
            <w:r>
              <w:rPr>
                <w:rFonts w:ascii="Arial" w:cs="Arial" w:eastAsia="Arial" w:hAnsi="Arial"/>
                <w:color w:val="1A1A1A"/>
                <w:sz w:val="20"/>
                <w:szCs w:val="20"/>
              </w:rPr>
              <w:t xml:space="preserve"> </w:t>
            </w:r>
          </w:p>
        </w:tc>
      </w:tr>
    </w:tbl>
    <w:p>
      <w:pPr>
        <w:spacing w:after="80"/>
      </w:pPr>
      <w:r>
        <w:t xml:space="preserve"/>
      </w:r>
    </w:p>
    <w:p>
      <w:pPr>
        <w:spacing w:after="120"/>
      </w:pPr>
      <w:r>
        <w:rPr>
          <w:rFonts w:ascii="Arial" w:cs="Arial" w:eastAsia="Arial" w:hAnsi="Arial"/>
          <w:b/>
          <w:bCs/>
          <w:color w:val="1B3A6B"/>
          <w:sz w:val="22"/>
          <w:szCs w:val="22"/>
        </w:rPr>
        <w:t xml:space="preserve">END OF DOCUMENT</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D7A77" w:sz="4" w:space="4"/>
      </w:pBdr>
      <w:tabs>
        <w:tab w:val="center" w:pos="4680"/>
        <w:tab w:val="right" w:pos="9360"/>
      </w:tabs>
    </w:pPr>
    <w:r>
      <w:rPr>
        <w:rFonts w:ascii="Arial" w:cs="Arial" w:eastAsia="Arial" w:hAnsi="Arial"/>
        <w:color w:val="888888"/>
        <w:sz w:val="16"/>
        <w:szCs w:val="16"/>
      </w:rPr>
      <w:t xml:space="preserve">CONTROLLED DOCUMENT</w:t>
    </w:r>
    <w:r>
      <w:rPr>
        <w:rFonts w:ascii="Arial" w:cs="Arial" w:eastAsia="Arial" w:hAnsi="Arial"/>
        <w:sz w:val="16"/>
        <w:szCs w:val="16"/>
      </w:rPr>
      <w:t xml:space="preserve">	</w:t>
    </w:r>
    <w:r>
      <w:rPr>
        <w:rFonts w:ascii="Arial" w:cs="Arial" w:eastAsia="Arial" w:hAnsi="Arial"/>
        <w:color w:val="888888"/>
        <w:sz w:val="16"/>
        <w:szCs w:val="16"/>
      </w:rPr>
      <w:t xml:space="preserve">GenAI Policy — ORG-AI-POL-001 v1.0</w:t>
    </w:r>
    <w:r>
      <w:rPr>
        <w:rFonts w:ascii="Arial" w:cs="Arial" w:eastAsia="Arial" w:hAnsi="Arial"/>
        <w:color w:val="888888"/>
        <w:sz w:val="16"/>
        <w:szCs w:val="16"/>
      </w:rPr>
      <w:t xml:space="preserve">	Page </w:t>
    </w:r>
    <w:fldSimple w:instr="PAGE">
      <w:r>
        <w:rPr>
          <w:rFonts w:ascii="Arial" w:cs="Arial" w:eastAsia="Arial" w:hAnsi="Arial"/>
          <w:color w:val="888888"/>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60"/>
        <w:ind w:left="720" w:hanging="360"/>
      </w:pPr>
    </w:lvl>
    <w:lvl w:ilvl="1" w15:tentative="1">
      <w:start w:val="1"/>
      <w:numFmt w:val="bullet"/>
      <w:lvlText w:val="◦"/>
      <w:lvlJc w:val="left"/>
      <w:pPr>
        <w:spacing w:after="60"/>
        <w:ind w:left="1080" w:hanging="360"/>
      </w:pPr>
    </w:lvl>
  </w:abstractNum>
  <w:abstractNum w:abstractNumId="3" w15:restartNumberingAfterBreak="0">
    <w:multiLevelType w:val="hybridMultilevel"/>
    <w:lvl w:ilvl="0" w15:tentative="1">
      <w:start w:val="1"/>
      <w:numFmt w:val="decimal"/>
      <w:lvlText w:val="%1."/>
      <w:lvlJc w:val="left"/>
      <w:pPr>
        <w:spacing w:after="80"/>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B3A6B"/>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0D7A77"/>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B3A6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2026-05-13T09:09:01.959Z</dcterms:created>
  <dcterms:modified xsi:type="dcterms:W3CDTF">2026-05-13T09:09:01.959Z</dcterms:modified>
</cp:coreProperties>
</file>

<file path=docProps/custom.xml><?xml version="1.0" encoding="utf-8"?>
<Properties xmlns="http://schemas.openxmlformats.org/officeDocument/2006/custom-properties" xmlns:vt="http://schemas.openxmlformats.org/officeDocument/2006/docPropsVTypes"/>
</file>