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F3864" w:val="clear"/>
            <w:tcMar>
              <w:top w:type="dxa" w:w="400"/>
              <w:left w:type="dxa" w:w="400"/>
              <w:bottom w:type="dxa" w:w="400"/>
              <w:right w:type="dxa" w:w="400"/>
            </w:tcMar>
          </w:tcPr>
          <w:p>
            <w:pPr>
              <w:spacing w:after="80"/>
              <w:jc w:val="center"/>
            </w:pPr>
            <w:r>
              <w:rPr>
                <w:rFonts w:ascii="Arial" w:cs="Arial" w:eastAsia="Arial" w:hAnsi="Arial"/>
                <w:b/>
                <w:bCs/>
                <w:color w:val="FFFFFF"/>
                <w:sz w:val="48"/>
                <w:szCs w:val="48"/>
              </w:rPr>
              <w:t xml:space="preserve">CYBERSECURITY POLICY</w:t>
            </w:r>
          </w:p>
          <w:p>
            <w:pPr>
              <w:spacing w:after="160"/>
              <w:jc w:val="center"/>
            </w:pPr>
            <w:r>
              <w:rPr>
                <w:rFonts w:ascii="Arial" w:cs="Arial" w:eastAsia="Arial" w:hAnsi="Arial"/>
                <w:b/>
                <w:bCs/>
                <w:color w:val="D9E8F5"/>
                <w:sz w:val="36"/>
                <w:szCs w:val="36"/>
              </w:rPr>
              <w:t xml:space="preserve">AND STANDARD OPERATING PROCEDURE</w:t>
            </w:r>
          </w:p>
          <w:p>
            <w:pPr>
              <w:spacing w:after="300"/>
              <w:jc w:val="center"/>
            </w:pPr>
            <w:r>
              <w:rPr>
                <w:rFonts w:ascii="Arial" w:cs="Arial" w:eastAsia="Arial" w:hAnsi="Arial"/>
                <w:i/>
                <w:iCs/>
                <w:color w:val="FFFFFF"/>
                <w:sz w:val="28"/>
                <w:szCs w:val="28"/>
              </w:rPr>
              <w:t xml:space="preserve">Life Sciences &amp; Medical Device Organisations</w:t>
            </w:r>
          </w:p>
          <w:p>
            <w:pPr>
              <w:pBdr>
                <w:bottom w:val="single" w:color="2E5F9A" w:sz="4" w:space="1"/>
              </w:pBdr>
              <w:spacing w:after="200"/>
            </w:pPr>
          </w:p>
          <w:p>
            <w:pPr>
              <w:jc w:val="center"/>
            </w:pPr>
            <w:r>
              <w:rPr>
                <w:rFonts w:ascii="Arial" w:cs="Arial" w:eastAsia="Arial" w:hAnsi="Arial"/>
                <w:color w:val="D9E8F5"/>
                <w:sz w:val="22"/>
                <w:szCs w:val="22"/>
              </w:rPr>
              <w:t xml:space="preserve">Document Reference: SJL-SEC-SOP-001</w:t>
            </w:r>
          </w:p>
          <w:p>
            <w:pPr>
              <w:spacing w:after="200"/>
              <w:jc w:val="center"/>
            </w:pPr>
            <w:r>
              <w:rPr>
                <w:rFonts w:ascii="Arial" w:cs="Arial" w:eastAsia="Arial" w:hAnsi="Arial"/>
                <w:color w:val="D9E8F5"/>
                <w:sz w:val="22"/>
                <w:szCs w:val="22"/>
              </w:rPr>
              <w:t xml:space="preserve">Version: 1.0  |  Issue Date: May 2026  |  Classification: Confidential</w:t>
            </w:r>
          </w:p>
        </w:tc>
      </w:tr>
    </w:tbl>
    <w:p>
      <w:pPr>
        <w:spacing w:after="20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AAAAAA" w:sz="1"/>
              <w:left w:val="single" w:color="AAAAAA" w:sz="1"/>
              <w:bottom w:val="single" w:color="AAAAAA" w:sz="1"/>
              <w:right w:val="single" w:color="AAAAAA" w:sz="1"/>
            </w:tcBorders>
            <w:shd w:fill="D9E8F5" w:val="clear"/>
            <w:tcMar>
              <w:top w:type="dxa" w:w="120"/>
              <w:left w:type="dxa" w:w="200"/>
              <w:bottom w:type="dxa" w:w="120"/>
              <w:right w:type="dxa" w:w="200"/>
            </w:tcMar>
          </w:tcPr>
          <w:p>
            <w:pPr>
              <w:spacing w:after="80"/>
              <w:jc w:val="center"/>
            </w:pPr>
            <w:r>
              <w:rPr>
                <w:rFonts w:ascii="Arial" w:cs="Arial" w:eastAsia="Arial" w:hAnsi="Arial"/>
                <w:b/>
                <w:bCs/>
                <w:color w:val="1F3864"/>
                <w:sz w:val="20"/>
                <w:szCs w:val="20"/>
              </w:rPr>
              <w:t xml:space="preserve">Normative Standards &amp; Regulatory Framework</w:t>
            </w:r>
          </w:p>
          <w:p>
            <w:pPr>
              <w:spacing w:after="40"/>
              <w:jc w:val="center"/>
            </w:pPr>
            <w:r>
              <w:rPr>
                <w:rFonts w:ascii="Arial" w:cs="Arial" w:eastAsia="Arial" w:hAnsi="Arial"/>
                <w:color w:val="333333"/>
                <w:sz w:val="18"/>
                <w:szCs w:val="18"/>
              </w:rPr>
              <w:t xml:space="preserve">IEC 81001-5-1:2021  •  ISO 14971:2019+Amd.2024  •  IEC 62304:2006+A1:2015  •  ISO 13485:2016</w:t>
            </w:r>
          </w:p>
          <w:p>
            <w:pPr>
              <w:spacing w:after="40"/>
              <w:jc w:val="center"/>
            </w:pPr>
            <w:r>
              <w:rPr>
                <w:rFonts w:ascii="Arial" w:cs="Arial" w:eastAsia="Arial" w:hAnsi="Arial"/>
                <w:color w:val="333333"/>
                <w:sz w:val="18"/>
                <w:szCs w:val="18"/>
              </w:rPr>
              <w:t xml:space="preserve">ISO/IEC 12207:2017  •  ISO/IEC 27001:2022  •  EU MDR 2017/745  •  NIS2 Directive 2022/2555  •  EU AI Act 2024/1689</w:t>
            </w:r>
          </w:p>
          <w:p>
            <w:pPr>
              <w:jc w:val="center"/>
            </w:pPr>
            <w:r>
              <w:rPr>
                <w:rFonts w:ascii="Arial" w:cs="Arial" w:eastAsia="Arial" w:hAnsi="Arial"/>
                <w:color w:val="333333"/>
                <w:sz w:val="18"/>
                <w:szCs w:val="18"/>
              </w:rPr>
              <w:t xml:space="preserve">MDCG 2019-16 Rev.1  •  MDCG 2025-6  •  FDA Cybersecurity Guidance (June 2025)  •  IEC 62443-4-1  •  NIST CSF 2.0</w:t>
            </w:r>
          </w:p>
        </w:tc>
      </w:tr>
    </w:tbl>
    <w:p>
      <w:pPr>
        <w:spacing w:after="30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Field</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Detail</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Field</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Detail</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bCs/>
                <w:sz w:val="18"/>
                <w:szCs w:val="18"/>
              </w:rPr>
              <w:t xml:space="preserve">Document ID</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8"/>
                <w:szCs w:val="18"/>
              </w:rPr>
              <w:t xml:space="preserve">SJL-SEC-SOP-001</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bCs/>
                <w:sz w:val="18"/>
                <w:szCs w:val="18"/>
              </w:rPr>
              <w:t xml:space="preserve">Version</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8"/>
                <w:szCs w:val="18"/>
              </w:rPr>
              <w:t xml:space="preserve">1.0</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bCs/>
                <w:sz w:val="18"/>
                <w:szCs w:val="18"/>
              </w:rPr>
              <w:t xml:space="preserve">Issue Date</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8"/>
                <w:szCs w:val="18"/>
              </w:rPr>
              <w:t xml:space="preserve">May 2026</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bCs/>
                <w:sz w:val="18"/>
                <w:szCs w:val="18"/>
              </w:rPr>
              <w:t xml:space="preserve">Review Date</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8"/>
                <w:szCs w:val="18"/>
              </w:rPr>
              <w:t xml:space="preserve">May 2027</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bCs/>
                <w:sz w:val="18"/>
                <w:szCs w:val="18"/>
              </w:rPr>
              <w:t xml:space="preserve">Owner</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8"/>
                <w:szCs w:val="18"/>
              </w:rPr>
              <w:t xml:space="preserve">Head of Quality &amp; Regulatory</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bCs/>
                <w:sz w:val="18"/>
                <w:szCs w:val="18"/>
              </w:rPr>
              <w:t xml:space="preserve">Approved By</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8"/>
                <w:szCs w:val="18"/>
              </w:rPr>
              <w:t xml:space="preserve">[Name / Title]</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bCs/>
                <w:sz w:val="18"/>
                <w:szCs w:val="18"/>
              </w:rPr>
              <w:t xml:space="preserve">Classification</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8"/>
                <w:szCs w:val="18"/>
              </w:rPr>
              <w:t xml:space="preserve">Confidential</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bCs/>
                <w:sz w:val="18"/>
                <w:szCs w:val="18"/>
              </w:rPr>
              <w:t xml:space="preserve">Status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8"/>
                <w:szCs w:val="18"/>
              </w:rPr>
              <w:t xml:space="preserve">Active</w:t>
            </w:r>
          </w:p>
        </w:tc>
      </w:tr>
    </w:tbl>
    <w:p>
      <w:r>
        <w:br w:type="page"/>
      </w:r>
    </w:p>
    <w:p>
      <w:pPr>
        <w:pStyle w:val="Heading1"/>
        <w:shd w:fill="1F3864" w:val="clear"/>
        <w:spacing w:after="120" w:before="240"/>
        <w:ind w:left="120" w:right="120"/>
      </w:pPr>
      <w:r>
        <w:rPr>
          <w:rFonts w:ascii="Arial" w:cs="Arial" w:eastAsia="Arial" w:hAnsi="Arial"/>
          <w:b/>
          <w:bCs/>
          <w:color w:val="FFFFFF"/>
          <w:sz w:val="28"/>
          <w:szCs w:val="28"/>
        </w:rPr>
        <w:t xml:space="preserve">1.  PURPOSE AND SCOPE</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1.1  Purpose</w:t>
      </w:r>
    </w:p>
    <w:p>
      <w:pPr>
        <w:spacing w:after="80" w:before="40"/>
      </w:pPr>
      <w:r>
        <w:rPr>
          <w:rFonts w:ascii="Arial" w:cs="Arial" w:eastAsia="Arial" w:hAnsi="Arial"/>
          <w:color w:val="000000"/>
          <w:sz w:val="20"/>
          <w:szCs w:val="20"/>
        </w:rPr>
        <w:t xml:space="preserve">This Policy and Standard Operating Procedure (SOP) establishes the cybersecurity requirements for [Organisation Name] in the development, maintenance, post-market surveillance, and lifecycle management of medical devices and health software. It provides a structured, risk-based framework aligned to international standards and applicable regulatory requirements to ensure that cybersecurity is treated as an integral patient safety obligation throughout the product lifecycle.</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1.2  Scope</w:t>
      </w:r>
    </w:p>
    <w:p>
      <w:pPr>
        <w:spacing w:after="80" w:before="40"/>
      </w:pPr>
      <w:r>
        <w:rPr>
          <w:rFonts w:ascii="Arial" w:cs="Arial" w:eastAsia="Arial" w:hAnsi="Arial"/>
          <w:color w:val="000000"/>
          <w:sz w:val="20"/>
          <w:szCs w:val="20"/>
        </w:rPr>
        <w:t xml:space="preserve">This document applies to:</w:t>
      </w:r>
    </w:p>
    <w:p>
      <w:pPr>
        <w:pStyle w:val="ListParagraph"/>
        <w:numPr>
          <w:ilvl w:val="0"/>
          <w:numId w:val="2"/>
        </w:numPr>
        <w:spacing w:after="40" w:before="20"/>
        <w:ind w:left="540" w:hanging="360"/>
      </w:pPr>
      <w:r>
        <w:rPr>
          <w:rFonts w:ascii="Arial" w:cs="Arial" w:eastAsia="Arial" w:hAnsi="Arial"/>
          <w:sz w:val="20"/>
          <w:szCs w:val="20"/>
        </w:rPr>
        <w:t xml:space="preserve">All software as a medical device (SaMD), software in a medical device (SiMD), and health IT systems developed, maintained, or distributed by the organisation</w:t>
      </w:r>
    </w:p>
    <w:p>
      <w:pPr>
        <w:pStyle w:val="ListParagraph"/>
        <w:numPr>
          <w:ilvl w:val="0"/>
          <w:numId w:val="2"/>
        </w:numPr>
        <w:spacing w:after="40" w:before="20"/>
        <w:ind w:left="540" w:hanging="360"/>
      </w:pPr>
      <w:r>
        <w:rPr>
          <w:rFonts w:ascii="Arial" w:cs="Arial" w:eastAsia="Arial" w:hAnsi="Arial"/>
          <w:sz w:val="20"/>
          <w:szCs w:val="20"/>
        </w:rPr>
        <w:t xml:space="preserve">All connected, networked, or AI-enabled medical devices</w:t>
      </w:r>
    </w:p>
    <w:p>
      <w:pPr>
        <w:pStyle w:val="ListParagraph"/>
        <w:numPr>
          <w:ilvl w:val="0"/>
          <w:numId w:val="2"/>
        </w:numPr>
        <w:spacing w:after="40" w:before="20"/>
        <w:ind w:left="540" w:hanging="360"/>
      </w:pPr>
      <w:r>
        <w:rPr>
          <w:rFonts w:ascii="Arial" w:cs="Arial" w:eastAsia="Arial" w:hAnsi="Arial"/>
          <w:sz w:val="20"/>
          <w:szCs w:val="20"/>
        </w:rPr>
        <w:t xml:space="preserve">All phases of the product lifecycle: concept, design, development, verification and validation, market release, post-market surveillance, and decommissioning</w:t>
      </w:r>
    </w:p>
    <w:p>
      <w:pPr>
        <w:pStyle w:val="ListParagraph"/>
        <w:numPr>
          <w:ilvl w:val="0"/>
          <w:numId w:val="2"/>
        </w:numPr>
        <w:spacing w:after="40" w:before="20"/>
        <w:ind w:left="540" w:hanging="360"/>
      </w:pPr>
      <w:r>
        <w:rPr>
          <w:rFonts w:ascii="Arial" w:cs="Arial" w:eastAsia="Arial" w:hAnsi="Arial"/>
          <w:sz w:val="20"/>
          <w:szCs w:val="20"/>
        </w:rPr>
        <w:t xml:space="preserve">All personnel with roles in software development, quality assurance, regulatory affairs, clinical affairs, IT, and information security</w:t>
      </w:r>
    </w:p>
    <w:p>
      <w:pPr>
        <w:pStyle w:val="ListParagraph"/>
        <w:numPr>
          <w:ilvl w:val="0"/>
          <w:numId w:val="2"/>
        </w:numPr>
        <w:spacing w:after="40" w:before="20"/>
        <w:ind w:left="540" w:hanging="360"/>
      </w:pPr>
      <w:r>
        <w:rPr>
          <w:rFonts w:ascii="Arial" w:cs="Arial" w:eastAsia="Arial" w:hAnsi="Arial"/>
          <w:sz w:val="20"/>
          <w:szCs w:val="20"/>
        </w:rPr>
        <w:t xml:space="preserve">Third-party suppliers, contract development organisations, and component vendors whose products are incorporated into medical device software</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1.3  Exclusions</w:t>
      </w:r>
    </w:p>
    <w:p>
      <w:pPr>
        <w:spacing w:after="80" w:before="40"/>
      </w:pPr>
      <w:r>
        <w:rPr>
          <w:rFonts w:ascii="Arial" w:cs="Arial" w:eastAsia="Arial" w:hAnsi="Arial"/>
          <w:color w:val="000000"/>
          <w:sz w:val="20"/>
          <w:szCs w:val="20"/>
        </w:rPr>
        <w:t xml:space="preserve">This SOP does not replace or supersede existing quality management procedures under ISO 13485 or IEC 62304. It supplements those procedures with specific cybersecurity activities. General corporate IT security is governed by a separate ISO/IEC 27001-aligned policy.</w:t>
      </w:r>
    </w:p>
    <w:p>
      <w:pPr>
        <w:spacing w:after="80" w:before="0"/>
      </w:pPr>
    </w:p>
    <w:p>
      <w:pPr>
        <w:pStyle w:val="Heading1"/>
        <w:shd w:fill="1F3864" w:val="clear"/>
        <w:spacing w:after="120" w:before="240"/>
        <w:ind w:left="120" w:right="120"/>
      </w:pPr>
      <w:r>
        <w:rPr>
          <w:rFonts w:ascii="Arial" w:cs="Arial" w:eastAsia="Arial" w:hAnsi="Arial"/>
          <w:b/>
          <w:bCs/>
          <w:color w:val="FFFFFF"/>
          <w:sz w:val="28"/>
          <w:szCs w:val="28"/>
        </w:rPr>
        <w:t xml:space="preserve">2.  NORMATIVE REFERENCES AND REGULATORY FRAMEWORK</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2.1  International Standards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91"/>
        <w:gridCol w:w="4337"/>
        <w:gridCol w:w="2409"/>
      </w:tblGrid>
      <w:tr>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Standard</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Title / Relevance</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Role in this SOP</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IEC 81001-5-1:2021 + ISH1:2025</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Health software — Security activities in the product lifecycle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Primary normative standard; provides the security lifecycle framework</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ISO 14971:2019 + Amd.2024</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Medical devices — Risk management</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Integrates cybersecurity risk into the benefit-risk framework</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IEC 62304:2006+A1:2015 (Ed.2 due Sept 2026)</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Medical device software — Lifecycle processes</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Software lifecycle; cybersecurity activities supplement each phase</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ISO 13485:2016</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Quality management systems for medical devices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QMS anchor; cybersecurity process embedded in the QMS</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ISO/IEC 12207:2017</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Software and systems engineering — Software lifecycle processes</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Systems-level lifecycle framework; informs asset and process scope</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ISO/IEC 27001:2022</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Information security management systems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Organisational ISMS; supplementary for enterprise controls</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IEC 62443-4-1:2018</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Secure product development lifecycle requirements (industrial)</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Structural basis for IEC 81001-5-1; referenced for secure SDLC</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AAMI SW96 / IEC 81001-5-2 (Draft)</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Security risk management for medical device manufacturers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Detailed SRM methodology; referenced pending publication of 81001-5-2</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IEC TS 81001-2-2:2025</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Security communication between manufacturer and operator</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MDS2-equivalent disclosure; informs Section 8 below</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IEC/TR 60601-4-5:2021</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Secure design for active networked medical devices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Technical controls reference for hardware-software interface</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ISO/IEC 29147:2018</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Vulnerability disclosure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Governs CVD process in Section 9</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ISO/IEC 30111:2019</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Vulnerability handling processes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Governs internal vulnerability response in Section 9</w:t>
            </w:r>
          </w:p>
        </w:tc>
      </w:tr>
    </w:tbl>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2.2  Regulatory Requirements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91"/>
        <w:gridCol w:w="6746"/>
      </w:tblGrid>
      <w:tr>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Regulation / Guidance</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Key Cybersecurity Obligations</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EU MDR 2017/745 — Annex I §17</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Devices must protect against unauthorised access and be designed with information security by design. State-of-the-art principles apply. Post-market surveillance must include cybersecurity monitoring.</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MDCG 2019-16 Rev.1</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Primary EU guidance on cybersecurity for medical devices. Covers pre-market design, security risk management, testing, labelling, post-market surveillance, and incident response. Requires threat modelling and coordination with healthcare operators.</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MDCG 2025-6</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Clarifies interplay between MDR/IVDR and EU AI Act for AI-enabled medical devices. Requires AI-specific cybersecurity risk assessment, robustness testing, and post-market monitoring.</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EU AI Act 2024/1689 — Art. 9, 15</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AI-enabled medical devices (typically high-risk AI systems) must implement risk management systems, accuracy and robustness requirements, and cybersecurity measures throughout the lifecycle. Applies from August 2026 for high-risk AI.</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NIS2 Directive 2022/2555</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Applies to medical device manufacturers classified as essential or important entities (≥50 employees or ≥€10M turnover). Requires cybersecurity risk management measures, incident reporting within 24 hours of significant incidents, supply chain security, and MFA. National transposition varies — Germany NIS2UmsuCG in force December 2025.</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EU Cyber Resilience Act (CRA) 2024</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Products with digital elements (including connected medical devices not solely regulated under MDR) must meet essential cybersecurity requirements. Vulnerability handling and security updates required throughout the support period.</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FDA Cybersecurity Guidance (June 2025)</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US premarket guidance requires SPDF documentation, threat model, SBOM, vulnerability management plan, and post-market cybersecurity maintenance. Section 524B of FD&amp;C Act makes these enforceable for cyber devices.</w:t>
            </w:r>
          </w:p>
        </w:tc>
      </w:tr>
    </w:tbl>
    <w:p>
      <w:r>
        <w:br w:type="page"/>
      </w:r>
    </w:p>
    <w:p>
      <w:pPr>
        <w:pStyle w:val="Heading1"/>
        <w:shd w:fill="1F3864" w:val="clear"/>
        <w:spacing w:after="120" w:before="240"/>
        <w:ind w:left="120" w:right="120"/>
      </w:pPr>
      <w:r>
        <w:rPr>
          <w:rFonts w:ascii="Arial" w:cs="Arial" w:eastAsia="Arial" w:hAnsi="Arial"/>
          <w:b/>
          <w:bCs/>
          <w:color w:val="FFFFFF"/>
          <w:sz w:val="28"/>
          <w:szCs w:val="28"/>
        </w:rPr>
        <w:t xml:space="preserve">3.  DEFINITIONS AND ABBREVIATIONS</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98"/>
        <w:gridCol w:w="6939"/>
      </w:tblGrid>
      <w:tr>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Term / Abbreviation</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Definition</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Asset</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Any item of value within the system that requires protection, including data, software components, hardware, firmware, credentials, and communications channels.</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Attack Surface</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The sum of all points in a system where an attacker could attempt to enter, extract data, or influence behaviour.</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CVD — Coordinated Vulnerability Disclosure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A process by which a researcher reports a vulnerability to the manufacturer, allowing time for remediation before public disclosure, in accordance with ISO/IEC 29147.</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CVSS — Common Vulnerability Scoring System</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An open framework for scoring the severity of software vulnerabilities, used to prioritise remediation.</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Cyber Device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As defined in FDA guidance: a device that includes software validated, installed, or authorised by the sponsor, or that contains technological characteristics that could be vulnerable to cybersecurity threats.</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DFD — Data Flow Diagram</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A graphical representation of the flow of data through a system, used as the basis for STRIDE threat modelling.</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Health Software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Software intended for health purposes, including SaMD, SiMD, and clinical health IT systems. Scope is as defined in IEC 81001-5-1.</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ISMS — Information Security Management System</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A systematic approach for managing sensitive company information in accordance with ISO/IEC 27001.</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KEV — Known Exploited Vulnerability</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A vulnerability listed in CISA's KEV catalogue, indicating confirmed exploitation in the wild.</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MDS2 — Manufacturer Disclosure Statement for Medical Device Security</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A standardised form used to communicate device security properties to healthcare operators.</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PMS — Post-Market Surveillance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Systematic process to collect and analyse experience from devices already placed on the market, per EU MDR Article 83.</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PSIRT — Product Security Incident Response Team</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The internal function responsible for receiving, triaging, and coordinating response to product security vulnerabilities.</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SaMD / SiMD</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Software as a Medical Device / Software in a Medical Device.</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SBOM — Software Bill of Materials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A machine-readable inventory of all software components, libraries, and dependencies within a product.</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Security Risk Management (SRM)</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The application of risk management processes (per ISO 14971 and AAMI SW96 / IEC 81001-5-2) to cybersecurity threats and vulnerabilities.</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SPDF — Secure Product Development Framework</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FDA's overarching framework for integrating security practices throughout the medical device product development lifecycle.</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STRIDE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Threat modelling methodology covering Spoofing, Tampering, Repudiation, Information Disclosure, Denial of Service, and Elevation of Privilege.</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Trust Boundary</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A boundary within a system data flow diagram where the level of trust changes, typically between internal and external components or between subsystems with different privilege levels.</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Vulnerability</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A weakness in a system that could be exploited to compromise security, integrity, availability, or safety.</w:t>
            </w:r>
          </w:p>
        </w:tc>
      </w:tr>
    </w:tbl>
    <w:p>
      <w:r>
        <w:br w:type="page"/>
      </w:r>
    </w:p>
    <w:p>
      <w:pPr>
        <w:pStyle w:val="Heading1"/>
        <w:shd w:fill="1F3864" w:val="clear"/>
        <w:spacing w:after="120" w:before="240"/>
        <w:ind w:left="120" w:right="120"/>
      </w:pPr>
      <w:r>
        <w:rPr>
          <w:rFonts w:ascii="Arial" w:cs="Arial" w:eastAsia="Arial" w:hAnsi="Arial"/>
          <w:b/>
          <w:bCs/>
          <w:color w:val="FFFFFF"/>
          <w:sz w:val="28"/>
          <w:szCs w:val="28"/>
        </w:rPr>
        <w:t xml:space="preserve">4.  ROLES AND RESPONSIBILITIES</w:t>
      </w:r>
    </w:p>
    <w:p>
      <w:pPr>
        <w:spacing w:after="80" w:before="0"/>
      </w:pPr>
    </w:p>
    <w:p>
      <w:pPr>
        <w:spacing w:after="80" w:before="40"/>
      </w:pPr>
      <w:r>
        <w:rPr>
          <w:rFonts w:ascii="Arial" w:cs="Arial" w:eastAsia="Arial" w:hAnsi="Arial"/>
          <w:color w:val="000000"/>
          <w:sz w:val="20"/>
          <w:szCs w:val="20"/>
        </w:rPr>
        <w:t xml:space="preserve">The following table defines accountabilities for cybersecurity across the organisation. All roles must be assigned to named individuals. Deputy assignments must be documented in the QMS.</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02"/>
        <w:gridCol w:w="4144"/>
        <w:gridCol w:w="2891"/>
      </w:tblGrid>
      <w:tr>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Role</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Responsibilities</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Standard Reference</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Executive Management / Senior Leadership</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Approve cybersecurity policy; allocate resources; review cybersecurity KPIs; ensure NIS2 registration obligations are met; receive annual cybersecurity reporting.</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ISO 13485 §5.1; NIS2 Art. 20; IEC 81001-5-1 §4.1</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Head of Quality &amp; Regulatory (Policy Owner)</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Own and maintain this SOP; ensure integration with QMS; manage regulatory cybersecurity submissions; interface with Notified Bodies and competent authorities.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ISO 13485 §5.5; MDCG 2019-16; IEC 81001-5-1 §4.1</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Chief Information Security Officer (CISO) / Information Security Lead</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Maintain the ISMS; manage enterprise security controls; lead the PSIRT; coordinate NIS2 incident reporting; maintain threat intelligence subscriptions.</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ISO/IEC 27001; NIS2 Art. 21</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Product Security Engineer / PSIRT Lead</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Execute security risk management for each product; own threat models and SBOM; lead penetration testing; manage CVD inbox; triage and communicate vulnerabilities; maintain security files.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IEC 81001-5-1 §§5–9; ISO/IEC 29147; ISO/IEC 30111</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Software Development Lead</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Integrate secure coding practices into SDLC; ensure security requirements are implemented; approve security-relevant design decisions; participate in threat modelling.</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IEC 62304; IEC 81001-5-1 §5; IEC 62443-4-1</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Risk Manager</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Integrate cybersecurity threats into the ISO 14971 risk management file; ensure benefit-risk analysis captures cybersecurity hazards; maintain the risk management report.</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ISO 14971:2019+Amd.2024; AAMI SW96</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Post-Market Surveillance Lead</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Monitor post-market cybersecurity signals; review Health-ISAC alerts, ENISA advisories, and national CERT feeds; update PMS plan; trigger CAPA for significant vulnerabilities; manage MDS2/IEC TS 81001-2-2 disclosures.</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EU MDR Art. 83–86; MDCG 2019-16; IEC 81001-5-1 §9</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QMS Manager</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Ensure cybersecurity procedures are documented, controlled, and subject to internal audit; maintain training records; manage document change control for security artefacts.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ISO 13485 §§4.2, 6.2</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All Staff</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Comply with this SOP; complete mandatory cybersecurity training; report actual or suspected security incidents to the PSIRT; avoid use of unapproved AI tools in development environments.</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ISO 13485 §6.2; NIS2 Art. 21</w:t>
            </w:r>
          </w:p>
        </w:tc>
      </w:tr>
    </w:tbl>
    <w:p>
      <w:r>
        <w:br w:type="page"/>
      </w:r>
    </w:p>
    <w:p>
      <w:pPr>
        <w:pStyle w:val="Heading1"/>
        <w:shd w:fill="1F3864" w:val="clear"/>
        <w:spacing w:after="120" w:before="240"/>
        <w:ind w:left="120" w:right="120"/>
      </w:pPr>
      <w:r>
        <w:rPr>
          <w:rFonts w:ascii="Arial" w:cs="Arial" w:eastAsia="Arial" w:hAnsi="Arial"/>
          <w:b/>
          <w:bCs/>
          <w:color w:val="FFFFFF"/>
          <w:sz w:val="28"/>
          <w:szCs w:val="28"/>
        </w:rPr>
        <w:t xml:space="preserve">5.  SECURITY IN THE SOFTWARE DEVELOPMENT LIFECYCLE</w:t>
      </w:r>
    </w:p>
    <w:p>
      <w:pPr>
        <w:spacing w:after="80" w:before="0"/>
      </w:pPr>
    </w:p>
    <w:p>
      <w:pPr>
        <w:shd w:fill="EEF4FB" w:val="clear"/>
        <w:spacing w:after="80" w:before="40"/>
        <w:ind w:left="360"/>
      </w:pPr>
      <w:r>
        <w:rPr>
          <w:rFonts w:ascii="Arial" w:cs="Arial" w:eastAsia="Arial" w:hAnsi="Arial"/>
          <w:b/>
          <w:bCs/>
          <w:i/>
          <w:iCs/>
          <w:color w:val="2E5F9A"/>
          <w:sz w:val="18"/>
          <w:szCs w:val="18"/>
        </w:rPr>
        <w:t xml:space="preserve">NOTE: </w:t>
      </w:r>
      <w:r>
        <w:rPr>
          <w:rFonts w:ascii="Arial" w:cs="Arial" w:eastAsia="Arial" w:hAnsi="Arial"/>
          <w:i/>
          <w:iCs/>
          <w:color w:val="444444"/>
          <w:sz w:val="18"/>
          <w:szCs w:val="18"/>
        </w:rPr>
        <w:t xml:space="preserve">This section implements IEC 81001-5-1 Clauses 5–8, supplementing IEC 62304 lifecycle processes. For AI-enabled devices, additional requirements from MDCG 2025-6 and the EU AI Act apply, as noted below.</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5.1  Security Planning</w:t>
      </w:r>
    </w:p>
    <w:p>
      <w:pPr>
        <w:spacing w:after="80" w:before="40"/>
      </w:pPr>
      <w:r>
        <w:rPr>
          <w:rFonts w:ascii="Arial" w:cs="Arial" w:eastAsia="Arial" w:hAnsi="Arial"/>
          <w:color w:val="000000"/>
          <w:sz w:val="20"/>
          <w:szCs w:val="20"/>
        </w:rPr>
        <w:t xml:space="preserve">A Security Development Plan (SDP) shall be established at project initiation and maintained throughout the lifecycle. The SDP shall define:</w:t>
      </w:r>
    </w:p>
    <w:p>
      <w:pPr>
        <w:pStyle w:val="ListParagraph"/>
        <w:numPr>
          <w:ilvl w:val="0"/>
          <w:numId w:val="2"/>
        </w:numPr>
        <w:spacing w:after="40" w:before="20"/>
        <w:ind w:left="540" w:hanging="360"/>
      </w:pPr>
      <w:r>
        <w:rPr>
          <w:rFonts w:ascii="Arial" w:cs="Arial" w:eastAsia="Arial" w:hAnsi="Arial"/>
          <w:sz w:val="20"/>
          <w:szCs w:val="20"/>
        </w:rPr>
        <w:t xml:space="preserve">Security objectives and scope, including the intended use environment and operator context</w:t>
      </w:r>
    </w:p>
    <w:p>
      <w:pPr>
        <w:pStyle w:val="ListParagraph"/>
        <w:numPr>
          <w:ilvl w:val="0"/>
          <w:numId w:val="2"/>
        </w:numPr>
        <w:spacing w:after="40" w:before="20"/>
        <w:ind w:left="540" w:hanging="360"/>
      </w:pPr>
      <w:r>
        <w:rPr>
          <w:rFonts w:ascii="Arial" w:cs="Arial" w:eastAsia="Arial" w:hAnsi="Arial"/>
          <w:sz w:val="20"/>
          <w:szCs w:val="20"/>
        </w:rPr>
        <w:t xml:space="preserve">Applicable regulatory requirements, standards, and guidance documents</w:t>
      </w:r>
    </w:p>
    <w:p>
      <w:pPr>
        <w:pStyle w:val="ListParagraph"/>
        <w:numPr>
          <w:ilvl w:val="0"/>
          <w:numId w:val="2"/>
        </w:numPr>
        <w:spacing w:after="40" w:before="20"/>
        <w:ind w:left="540" w:hanging="360"/>
      </w:pPr>
      <w:r>
        <w:rPr>
          <w:rFonts w:ascii="Arial" w:cs="Arial" w:eastAsia="Arial" w:hAnsi="Arial"/>
          <w:sz w:val="20"/>
          <w:szCs w:val="20"/>
        </w:rPr>
        <w:t xml:space="preserve">Security roles, responsibilities, and competency requirements for the project</w:t>
      </w:r>
    </w:p>
    <w:p>
      <w:pPr>
        <w:pStyle w:val="ListParagraph"/>
        <w:numPr>
          <w:ilvl w:val="0"/>
          <w:numId w:val="2"/>
        </w:numPr>
        <w:spacing w:after="40" w:before="20"/>
        <w:ind w:left="540" w:hanging="360"/>
      </w:pPr>
      <w:r>
        <w:rPr>
          <w:rFonts w:ascii="Arial" w:cs="Arial" w:eastAsia="Arial" w:hAnsi="Arial"/>
          <w:sz w:val="20"/>
          <w:szCs w:val="20"/>
        </w:rPr>
        <w:t xml:space="preserve">Security activities, tasks, and deliverables mapped to IEC 62304 lifecycle phases</w:t>
      </w:r>
    </w:p>
    <w:p>
      <w:pPr>
        <w:pStyle w:val="ListParagraph"/>
        <w:numPr>
          <w:ilvl w:val="0"/>
          <w:numId w:val="2"/>
        </w:numPr>
        <w:spacing w:after="40" w:before="20"/>
        <w:ind w:left="540" w:hanging="360"/>
      </w:pPr>
      <w:r>
        <w:rPr>
          <w:rFonts w:ascii="Arial" w:cs="Arial" w:eastAsia="Arial" w:hAnsi="Arial"/>
          <w:sz w:val="20"/>
          <w:szCs w:val="20"/>
        </w:rPr>
        <w:t xml:space="preserve">Configuration management, change control, and version control procedures for security artefacts</w:t>
      </w:r>
    </w:p>
    <w:p>
      <w:pPr>
        <w:pStyle w:val="ListParagraph"/>
        <w:numPr>
          <w:ilvl w:val="0"/>
          <w:numId w:val="2"/>
        </w:numPr>
        <w:spacing w:after="40" w:before="20"/>
        <w:ind w:left="540" w:hanging="360"/>
      </w:pPr>
      <w:r>
        <w:rPr>
          <w:rFonts w:ascii="Arial" w:cs="Arial" w:eastAsia="Arial" w:hAnsi="Arial"/>
          <w:sz w:val="20"/>
          <w:szCs w:val="20"/>
        </w:rPr>
        <w:t xml:space="preserve">Criteria for security release approval and post-market security monitoring triggers</w:t>
      </w:r>
    </w:p>
    <w:p>
      <w:pPr>
        <w:pStyle w:val="ListParagraph"/>
        <w:numPr>
          <w:ilvl w:val="0"/>
          <w:numId w:val="2"/>
        </w:numPr>
        <w:spacing w:after="40" w:before="20"/>
        <w:ind w:left="540" w:hanging="360"/>
      </w:pPr>
      <w:r>
        <w:rPr>
          <w:rFonts w:ascii="Arial" w:cs="Arial" w:eastAsia="Arial" w:hAnsi="Arial"/>
          <w:sz w:val="20"/>
          <w:szCs w:val="20"/>
        </w:rPr>
        <w:t xml:space="preserve">For AI-enabled devices: identification of AI/ML components, training data provenance, and AI-specific threat categories (data poisoning, model evasion, adversarial inference)</w:t>
      </w:r>
    </w:p>
    <w:p>
      <w:pPr>
        <w:spacing w:after="80" w:before="0"/>
      </w:pPr>
    </w:p>
    <w:p>
      <w:pPr>
        <w:shd w:fill="EEF4FB" w:val="clear"/>
        <w:spacing w:after="80" w:before="40"/>
        <w:ind w:left="360"/>
      </w:pPr>
      <w:r>
        <w:rPr>
          <w:rFonts w:ascii="Arial" w:cs="Arial" w:eastAsia="Arial" w:hAnsi="Arial"/>
          <w:b/>
          <w:bCs/>
          <w:i/>
          <w:iCs/>
          <w:color w:val="2E5F9A"/>
          <w:sz w:val="18"/>
          <w:szCs w:val="18"/>
        </w:rPr>
        <w:t xml:space="preserve">NOTE: </w:t>
      </w:r>
      <w:r>
        <w:rPr>
          <w:rFonts w:ascii="Arial" w:cs="Arial" w:eastAsia="Arial" w:hAnsi="Arial"/>
          <w:i/>
          <w:iCs/>
          <w:color w:val="444444"/>
          <w:sz w:val="18"/>
          <w:szCs w:val="18"/>
        </w:rPr>
        <w:t xml:space="preserve">The SDP is a controlled QMS document. Initial version must be approved before design inputs are finalised.</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5.2  Security Requirements</w:t>
      </w:r>
    </w:p>
    <w:p>
      <w:pPr>
        <w:spacing w:after="80" w:before="40"/>
      </w:pPr>
      <w:r>
        <w:rPr>
          <w:rFonts w:ascii="Arial" w:cs="Arial" w:eastAsia="Arial" w:hAnsi="Arial"/>
          <w:color w:val="000000"/>
          <w:sz w:val="20"/>
          <w:szCs w:val="20"/>
        </w:rPr>
        <w:t xml:space="preserve">Security requirements shall be derived from:</w:t>
      </w:r>
    </w:p>
    <w:p>
      <w:pPr>
        <w:pStyle w:val="ListParagraph"/>
        <w:numPr>
          <w:ilvl w:val="0"/>
          <w:numId w:val="2"/>
        </w:numPr>
        <w:spacing w:after="40" w:before="20"/>
        <w:ind w:left="540" w:hanging="360"/>
      </w:pPr>
      <w:r>
        <w:rPr>
          <w:rFonts w:ascii="Arial" w:cs="Arial" w:eastAsia="Arial" w:hAnsi="Arial"/>
          <w:sz w:val="20"/>
          <w:szCs w:val="20"/>
        </w:rPr>
        <w:t xml:space="preserve">The threat model (Section 5.3)</w:t>
      </w:r>
    </w:p>
    <w:p>
      <w:pPr>
        <w:pStyle w:val="ListParagraph"/>
        <w:numPr>
          <w:ilvl w:val="0"/>
          <w:numId w:val="2"/>
        </w:numPr>
        <w:spacing w:after="40" w:before="20"/>
        <w:ind w:left="540" w:hanging="360"/>
      </w:pPr>
      <w:r>
        <w:rPr>
          <w:rFonts w:ascii="Arial" w:cs="Arial" w:eastAsia="Arial" w:hAnsi="Arial"/>
          <w:sz w:val="20"/>
          <w:szCs w:val="20"/>
        </w:rPr>
        <w:t xml:space="preserve">Risk management activities per ISO 14971 (cybersecurity hazards feeding the risk management file)</w:t>
      </w:r>
    </w:p>
    <w:p>
      <w:pPr>
        <w:pStyle w:val="ListParagraph"/>
        <w:numPr>
          <w:ilvl w:val="0"/>
          <w:numId w:val="2"/>
        </w:numPr>
        <w:spacing w:after="40" w:before="20"/>
        <w:ind w:left="540" w:hanging="360"/>
      </w:pPr>
      <w:r>
        <w:rPr>
          <w:rFonts w:ascii="Arial" w:cs="Arial" w:eastAsia="Arial" w:hAnsi="Arial"/>
          <w:sz w:val="20"/>
          <w:szCs w:val="20"/>
        </w:rPr>
        <w:t xml:space="preserve">Applicable regulatory requirements and standards listed in Section 2</w:t>
      </w:r>
    </w:p>
    <w:p>
      <w:pPr>
        <w:pStyle w:val="ListParagraph"/>
        <w:numPr>
          <w:ilvl w:val="0"/>
          <w:numId w:val="2"/>
        </w:numPr>
        <w:spacing w:after="40" w:before="20"/>
        <w:ind w:left="540" w:hanging="360"/>
      </w:pPr>
      <w:r>
        <w:rPr>
          <w:rFonts w:ascii="Arial" w:cs="Arial" w:eastAsia="Arial" w:hAnsi="Arial"/>
          <w:sz w:val="20"/>
          <w:szCs w:val="20"/>
        </w:rPr>
        <w:t xml:space="preserve">Intended use environment analysis, including the healthcare operator's network context</w:t>
      </w:r>
    </w:p>
    <w:p>
      <w:pPr>
        <w:pStyle w:val="ListParagraph"/>
        <w:numPr>
          <w:ilvl w:val="0"/>
          <w:numId w:val="2"/>
        </w:numPr>
        <w:spacing w:after="40" w:before="20"/>
        <w:ind w:left="540" w:hanging="360"/>
      </w:pPr>
      <w:r>
        <w:rPr>
          <w:rFonts w:ascii="Arial" w:cs="Arial" w:eastAsia="Arial" w:hAnsi="Arial"/>
          <w:sz w:val="20"/>
          <w:szCs w:val="20"/>
        </w:rPr>
        <w:t xml:space="preserve">Known vulnerabilities in similar device architectures, sourced from ENISA, CISA, and Health-ISAC</w:t>
      </w:r>
    </w:p>
    <w:p>
      <w:pPr>
        <w:spacing w:after="80" w:before="0"/>
      </w:pPr>
    </w:p>
    <w:p>
      <w:pPr>
        <w:spacing w:after="80" w:before="40"/>
      </w:pPr>
      <w:r>
        <w:rPr>
          <w:rFonts w:ascii="Arial" w:cs="Arial" w:eastAsia="Arial" w:hAnsi="Arial"/>
          <w:color w:val="000000"/>
          <w:sz w:val="20"/>
          <w:szCs w:val="20"/>
        </w:rPr>
        <w:t xml:space="preserve">Security requirements shall be documented, uniquely identified, traceable to threat model entries, and maintained under configuration management. Each requirement shall specify a verification method. Where the intended use environment involves AI-enabled capabilities, requirements shall additionally address robustness to adversarial input, model integrity verification, and drift detection per EU AI Act Article 9 and MDCG 2025-6.</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5.3  Threat Modelling</w:t>
      </w:r>
    </w:p>
    <w:p>
      <w:pPr>
        <w:spacing w:after="80" w:before="40"/>
      </w:pPr>
      <w:r>
        <w:rPr>
          <w:rFonts w:ascii="Arial" w:cs="Arial" w:eastAsia="Arial" w:hAnsi="Arial"/>
          <w:color w:val="000000"/>
          <w:sz w:val="20"/>
          <w:szCs w:val="20"/>
        </w:rPr>
        <w:t xml:space="preserve">A threat model shall be produced for every new device and for significant design changes. The threat model is a living document and shall be updated upon:</w:t>
      </w:r>
    </w:p>
    <w:p>
      <w:pPr>
        <w:pStyle w:val="ListParagraph"/>
        <w:numPr>
          <w:ilvl w:val="0"/>
          <w:numId w:val="2"/>
        </w:numPr>
        <w:spacing w:after="40" w:before="20"/>
        <w:ind w:left="540" w:hanging="360"/>
      </w:pPr>
      <w:r>
        <w:rPr>
          <w:rFonts w:ascii="Arial" w:cs="Arial" w:eastAsia="Arial" w:hAnsi="Arial"/>
          <w:sz w:val="20"/>
          <w:szCs w:val="20"/>
        </w:rPr>
        <w:t xml:space="preserve">Significant architectural change or addition of new interfaces</w:t>
      </w:r>
    </w:p>
    <w:p>
      <w:pPr>
        <w:pStyle w:val="ListParagraph"/>
        <w:numPr>
          <w:ilvl w:val="0"/>
          <w:numId w:val="2"/>
        </w:numPr>
        <w:spacing w:after="40" w:before="20"/>
        <w:ind w:left="540" w:hanging="360"/>
      </w:pPr>
      <w:r>
        <w:rPr>
          <w:rFonts w:ascii="Arial" w:cs="Arial" w:eastAsia="Arial" w:hAnsi="Arial"/>
          <w:sz w:val="20"/>
          <w:szCs w:val="20"/>
        </w:rPr>
        <w:t xml:space="preserve">Publication of a relevant CVE affecting a component in the device's SBOM</w:t>
      </w:r>
    </w:p>
    <w:p>
      <w:pPr>
        <w:pStyle w:val="ListParagraph"/>
        <w:numPr>
          <w:ilvl w:val="0"/>
          <w:numId w:val="2"/>
        </w:numPr>
        <w:spacing w:after="40" w:before="20"/>
        <w:ind w:left="540" w:hanging="360"/>
      </w:pPr>
      <w:r>
        <w:rPr>
          <w:rFonts w:ascii="Arial" w:cs="Arial" w:eastAsia="Arial" w:hAnsi="Arial"/>
          <w:sz w:val="20"/>
          <w:szCs w:val="20"/>
        </w:rPr>
        <w:t xml:space="preserve">A new attack technique identified in the threat intelligence feeds that is applicable to the device architecture</w:t>
      </w:r>
    </w:p>
    <w:p>
      <w:pPr>
        <w:pStyle w:val="ListParagraph"/>
        <w:numPr>
          <w:ilvl w:val="0"/>
          <w:numId w:val="2"/>
        </w:numPr>
        <w:spacing w:after="40" w:before="20"/>
        <w:ind w:left="540" w:hanging="360"/>
      </w:pPr>
      <w:r>
        <w:rPr>
          <w:rFonts w:ascii="Arial" w:cs="Arial" w:eastAsia="Arial" w:hAnsi="Arial"/>
          <w:sz w:val="20"/>
          <w:szCs w:val="20"/>
        </w:rPr>
        <w:t xml:space="preserve">Post-market security incident in the same device class</w:t>
      </w:r>
    </w:p>
    <w:p>
      <w:pPr>
        <w:spacing w:after="80" w:before="0"/>
      </w:pPr>
    </w:p>
    <w:p>
      <w:pPr>
        <w:spacing w:after="60" w:before="120"/>
      </w:pPr>
      <w:r>
        <w:rPr>
          <w:rFonts w:ascii="Arial" w:cs="Arial" w:eastAsia="Arial" w:hAnsi="Arial"/>
          <w:b/>
          <w:bCs/>
          <w:color w:val="2E5F9A"/>
          <w:sz w:val="22"/>
          <w:szCs w:val="22"/>
        </w:rPr>
        <w:t xml:space="preserve">5.3.1  Methodology</w:t>
      </w:r>
    </w:p>
    <w:p>
      <w:pPr>
        <w:spacing w:after="80" w:before="40"/>
      </w:pPr>
      <w:r>
        <w:rPr>
          <w:rFonts w:ascii="Arial" w:cs="Arial" w:eastAsia="Arial" w:hAnsi="Arial"/>
          <w:color w:val="000000"/>
          <w:sz w:val="20"/>
          <w:szCs w:val="20"/>
        </w:rPr>
        <w:t xml:space="preserve">The STRIDE-per-element methodology shall be applied as the primary threat analysis framework, consistent with the MITRE Playbook for Threat Modeling Medical Devices (2021) and FDA Cybersecurity Guidance (June 2025). For AI-enabled devices, STRIDE-AI extensions shall be applied to AI-specific assets (training pipelines, model weights, inference interfaces, feedback mechanisms).</w:t>
      </w:r>
    </w:p>
    <w:p>
      <w:pPr>
        <w:spacing w:after="80" w:before="0"/>
      </w:pPr>
    </w:p>
    <w:p>
      <w:pPr>
        <w:spacing w:after="80" w:before="40"/>
      </w:pPr>
      <w:r>
        <w:rPr>
          <w:rFonts w:ascii="Arial" w:cs="Arial" w:eastAsia="Arial" w:hAnsi="Arial"/>
          <w:color w:val="000000"/>
          <w:sz w:val="20"/>
          <w:szCs w:val="20"/>
        </w:rPr>
        <w:t xml:space="preserve">The threat modelling process shall follow these sequential steps:</w:t>
      </w:r>
    </w:p>
    <w:p>
      <w:pPr>
        <w:pStyle w:val="ListParagraph"/>
        <w:numPr>
          <w:ilvl w:val="0"/>
          <w:numId w:val="3"/>
        </w:numPr>
        <w:spacing w:after="40" w:before="20"/>
        <w:ind w:left="540" w:hanging="360"/>
      </w:pPr>
      <w:r>
        <w:rPr>
          <w:rFonts w:ascii="Arial" w:cs="Arial" w:eastAsia="Arial" w:hAnsi="Arial"/>
          <w:sz w:val="20"/>
          <w:szCs w:val="20"/>
        </w:rPr>
        <w:t xml:space="preserve">Define scope: document all in-scope components, third-party services, and operational environments. Scope shall extend to the trust boundary of the complete system, not solely the device itself.</w:t>
      </w:r>
    </w:p>
    <w:p>
      <w:pPr>
        <w:pStyle w:val="ListParagraph"/>
        <w:numPr>
          <w:ilvl w:val="0"/>
          <w:numId w:val="3"/>
        </w:numPr>
        <w:spacing w:after="40" w:before="20"/>
        <w:ind w:left="540" w:hanging="360"/>
      </w:pPr>
      <w:r>
        <w:rPr>
          <w:rFonts w:ascii="Arial" w:cs="Arial" w:eastAsia="Arial" w:hAnsi="Arial"/>
          <w:sz w:val="20"/>
          <w:szCs w:val="20"/>
        </w:rPr>
        <w:t xml:space="preserve">Construct Data Flow Diagrams (DFDs) using DFD Level 1 and Level 2 diagrams. All trust boundaries shall be explicitly marked. DFDs shall reflect the system as deployed, not solely as designed.</w:t>
      </w:r>
    </w:p>
    <w:p>
      <w:pPr>
        <w:pStyle w:val="ListParagraph"/>
        <w:numPr>
          <w:ilvl w:val="0"/>
          <w:numId w:val="3"/>
        </w:numPr>
        <w:spacing w:after="40" w:before="20"/>
        <w:ind w:left="540" w:hanging="360"/>
      </w:pPr>
      <w:r>
        <w:rPr>
          <w:rFonts w:ascii="Arial" w:cs="Arial" w:eastAsia="Arial" w:hAnsi="Arial"/>
          <w:sz w:val="20"/>
          <w:szCs w:val="20"/>
        </w:rPr>
        <w:t xml:space="preserve">Identify assets: categorise as data assets, functional assets, and operational assets. For AI devices, include training datasets, model artefacts, and inference pipelines.</w:t>
      </w:r>
    </w:p>
    <w:p>
      <w:pPr>
        <w:pStyle w:val="ListParagraph"/>
        <w:numPr>
          <w:ilvl w:val="0"/>
          <w:numId w:val="3"/>
        </w:numPr>
        <w:spacing w:after="40" w:before="20"/>
        <w:ind w:left="540" w:hanging="360"/>
      </w:pPr>
      <w:r>
        <w:rPr>
          <w:rFonts w:ascii="Arial" w:cs="Arial" w:eastAsia="Arial" w:hAnsi="Arial"/>
          <w:sz w:val="20"/>
          <w:szCs w:val="20"/>
        </w:rPr>
        <w:t xml:space="preserve">Apply STRIDE per element: systematically enumerate threats for each process, data store, data flow, and external entity in the DFD. Document rationale where a STRIDE category does not apply to a given element.</w:t>
      </w:r>
    </w:p>
    <w:p>
      <w:pPr>
        <w:pStyle w:val="ListParagraph"/>
        <w:numPr>
          <w:ilvl w:val="0"/>
          <w:numId w:val="3"/>
        </w:numPr>
        <w:spacing w:after="40" w:before="20"/>
        <w:ind w:left="540" w:hanging="360"/>
      </w:pPr>
      <w:r>
        <w:rPr>
          <w:rFonts w:ascii="Arial" w:cs="Arial" w:eastAsia="Arial" w:hAnsi="Arial"/>
          <w:sz w:val="20"/>
          <w:szCs w:val="20"/>
        </w:rPr>
        <w:t xml:space="preserve">Assess risk: score each identified threat using CVSS v3.1 adapted with clinical context (patient safety impact, device availability criticality). Reference MDCG 2019-16 and AAMI SW96 for scoring guidance.</w:t>
      </w:r>
    </w:p>
    <w:p>
      <w:pPr>
        <w:pStyle w:val="ListParagraph"/>
        <w:numPr>
          <w:ilvl w:val="0"/>
          <w:numId w:val="3"/>
        </w:numPr>
        <w:spacing w:after="40" w:before="20"/>
        <w:ind w:left="540" w:hanging="360"/>
      </w:pPr>
      <w:r>
        <w:rPr>
          <w:rFonts w:ascii="Arial" w:cs="Arial" w:eastAsia="Arial" w:hAnsi="Arial"/>
          <w:sz w:val="20"/>
          <w:szCs w:val="20"/>
        </w:rPr>
        <w:t xml:space="preserve">Define mitigations: map each threat to specific security controls, with verification method and responsible owner. Mitigations shall be traceable to security requirements.</w:t>
      </w:r>
    </w:p>
    <w:p>
      <w:pPr>
        <w:pStyle w:val="ListParagraph"/>
        <w:numPr>
          <w:ilvl w:val="0"/>
          <w:numId w:val="3"/>
        </w:numPr>
        <w:spacing w:after="40" w:before="20"/>
        <w:ind w:left="540" w:hanging="360"/>
      </w:pPr>
      <w:r>
        <w:rPr>
          <w:rFonts w:ascii="Arial" w:cs="Arial" w:eastAsia="Arial" w:hAnsi="Arial"/>
          <w:sz w:val="20"/>
          <w:szCs w:val="20"/>
        </w:rPr>
        <w:t xml:space="preserve">Update risk management file: each residual risk following mitigation shall be an input to the ISO 14971 risk management file. Cybersecurity residual risks shall not be accepted if they create unacceptable patient safety hazards.</w:t>
      </w:r>
    </w:p>
    <w:p>
      <w:pPr>
        <w:spacing w:after="80" w:before="0"/>
      </w:pPr>
    </w:p>
    <w:p>
      <w:pPr>
        <w:shd w:fill="EEF4FB" w:val="clear"/>
        <w:spacing w:after="80" w:before="40"/>
        <w:ind w:left="360"/>
      </w:pPr>
      <w:r>
        <w:rPr>
          <w:rFonts w:ascii="Arial" w:cs="Arial" w:eastAsia="Arial" w:hAnsi="Arial"/>
          <w:b/>
          <w:bCs/>
          <w:i/>
          <w:iCs/>
          <w:color w:val="2E5F9A"/>
          <w:sz w:val="18"/>
          <w:szCs w:val="18"/>
        </w:rPr>
        <w:t xml:space="preserve">NOTE: </w:t>
      </w:r>
      <w:r>
        <w:rPr>
          <w:rFonts w:ascii="Arial" w:cs="Arial" w:eastAsia="Arial" w:hAnsi="Arial"/>
          <w:i/>
          <w:iCs/>
          <w:color w:val="444444"/>
          <w:sz w:val="18"/>
          <w:szCs w:val="18"/>
        </w:rPr>
        <w:t xml:space="preserve">Attack trees shall supplement STRIDE for high-complexity, multi-step attack scenarios (e.g. device → hospital network lateral movement). PASTA methodology may be used to provide business context framing for cross-functional risk communication.</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5.4  Secure Design and Architecture</w:t>
      </w:r>
    </w:p>
    <w:p>
      <w:pPr>
        <w:spacing w:after="80" w:before="40"/>
      </w:pPr>
      <w:r>
        <w:rPr>
          <w:rFonts w:ascii="Arial" w:cs="Arial" w:eastAsia="Arial" w:hAnsi="Arial"/>
          <w:color w:val="000000"/>
          <w:sz w:val="20"/>
          <w:szCs w:val="20"/>
        </w:rPr>
        <w:t xml:space="preserve">Security shall be designed in from the earliest architecture stage. The following principles are mandatory for all connected medical devices:</w:t>
      </w:r>
    </w:p>
    <w:p>
      <w:pPr>
        <w:pStyle w:val="ListParagraph"/>
        <w:numPr>
          <w:ilvl w:val="0"/>
          <w:numId w:val="2"/>
        </w:numPr>
        <w:spacing w:after="40" w:before="20"/>
        <w:ind w:left="540" w:hanging="360"/>
      </w:pPr>
      <w:r>
        <w:rPr>
          <w:rFonts w:ascii="Arial" w:cs="Arial" w:eastAsia="Arial" w:hAnsi="Arial"/>
          <w:sz w:val="20"/>
          <w:szCs w:val="20"/>
        </w:rPr>
        <w:t xml:space="preserve">Defence in depth: multiple overlapping security controls such that no single control failure creates an unacceptable risk</w:t>
      </w:r>
    </w:p>
    <w:p>
      <w:pPr>
        <w:pStyle w:val="ListParagraph"/>
        <w:numPr>
          <w:ilvl w:val="0"/>
          <w:numId w:val="2"/>
        </w:numPr>
        <w:spacing w:after="40" w:before="20"/>
        <w:ind w:left="540" w:hanging="360"/>
      </w:pPr>
      <w:r>
        <w:rPr>
          <w:rFonts w:ascii="Arial" w:cs="Arial" w:eastAsia="Arial" w:hAnsi="Arial"/>
          <w:sz w:val="20"/>
          <w:szCs w:val="20"/>
        </w:rPr>
        <w:t xml:space="preserve">Least privilege: each component, user, and process shall have only the access rights necessary for its function</w:t>
      </w:r>
    </w:p>
    <w:p>
      <w:pPr>
        <w:pStyle w:val="ListParagraph"/>
        <w:numPr>
          <w:ilvl w:val="0"/>
          <w:numId w:val="2"/>
        </w:numPr>
        <w:spacing w:after="40" w:before="20"/>
        <w:ind w:left="540" w:hanging="360"/>
      </w:pPr>
      <w:r>
        <w:rPr>
          <w:rFonts w:ascii="Arial" w:cs="Arial" w:eastAsia="Arial" w:hAnsi="Arial"/>
          <w:sz w:val="20"/>
          <w:szCs w:val="20"/>
        </w:rPr>
        <w:t xml:space="preserve">Fail secure: upon failure, systems shall default to a secure state that preserves patient safety</w:t>
      </w:r>
    </w:p>
    <w:p>
      <w:pPr>
        <w:pStyle w:val="ListParagraph"/>
        <w:numPr>
          <w:ilvl w:val="0"/>
          <w:numId w:val="2"/>
        </w:numPr>
        <w:spacing w:after="40" w:before="20"/>
        <w:ind w:left="540" w:hanging="360"/>
      </w:pPr>
      <w:r>
        <w:rPr>
          <w:rFonts w:ascii="Arial" w:cs="Arial" w:eastAsia="Arial" w:hAnsi="Arial"/>
          <w:sz w:val="20"/>
          <w:szCs w:val="20"/>
        </w:rPr>
        <w:t xml:space="preserve">Minimise attack surface: unnecessary services, ports, and interfaces shall be disabled by default</w:t>
      </w:r>
    </w:p>
    <w:p>
      <w:pPr>
        <w:pStyle w:val="ListParagraph"/>
        <w:numPr>
          <w:ilvl w:val="0"/>
          <w:numId w:val="2"/>
        </w:numPr>
        <w:spacing w:after="40" w:before="20"/>
        <w:ind w:left="540" w:hanging="360"/>
      </w:pPr>
      <w:r>
        <w:rPr>
          <w:rFonts w:ascii="Arial" w:cs="Arial" w:eastAsia="Arial" w:hAnsi="Arial"/>
          <w:sz w:val="20"/>
          <w:szCs w:val="20"/>
        </w:rPr>
        <w:t xml:space="preserve">Secure by default: shipped configurations shall be secure; any relaxation of defaults shall require explicit user action and documentation</w:t>
      </w:r>
    </w:p>
    <w:p>
      <w:pPr>
        <w:pStyle w:val="ListParagraph"/>
        <w:numPr>
          <w:ilvl w:val="0"/>
          <w:numId w:val="2"/>
        </w:numPr>
        <w:spacing w:after="40" w:before="20"/>
        <w:ind w:left="540" w:hanging="360"/>
      </w:pPr>
      <w:r>
        <w:rPr>
          <w:rFonts w:ascii="Arial" w:cs="Arial" w:eastAsia="Arial" w:hAnsi="Arial"/>
          <w:sz w:val="20"/>
          <w:szCs w:val="20"/>
        </w:rPr>
        <w:t xml:space="preserve">Separation of concerns: security-critical functions shall be isolated from non-critical functions</w:t>
      </w:r>
    </w:p>
    <w:p>
      <w:pPr>
        <w:pStyle w:val="ListParagraph"/>
        <w:numPr>
          <w:ilvl w:val="0"/>
          <w:numId w:val="2"/>
        </w:numPr>
        <w:spacing w:after="40" w:before="20"/>
        <w:ind w:left="540" w:hanging="360"/>
      </w:pPr>
      <w:r>
        <w:rPr>
          <w:rFonts w:ascii="Arial" w:cs="Arial" w:eastAsia="Arial" w:hAnsi="Arial"/>
          <w:sz w:val="20"/>
          <w:szCs w:val="20"/>
        </w:rPr>
        <w:t xml:space="preserve">Cryptographic controls: all data in transit shall be encrypted using TLS 1.2 minimum (TLS 1.3 preferred); data at rest containing PHI shall be encrypted using AES-256 or equivalent</w:t>
      </w:r>
    </w:p>
    <w:p>
      <w:pPr>
        <w:pStyle w:val="ListParagraph"/>
        <w:numPr>
          <w:ilvl w:val="0"/>
          <w:numId w:val="2"/>
        </w:numPr>
        <w:spacing w:after="40" w:before="20"/>
        <w:ind w:left="540" w:hanging="360"/>
      </w:pPr>
      <w:r>
        <w:rPr>
          <w:rFonts w:ascii="Arial" w:cs="Arial" w:eastAsia="Arial" w:hAnsi="Arial"/>
          <w:sz w:val="20"/>
          <w:szCs w:val="20"/>
        </w:rPr>
        <w:t xml:space="preserve">Authentication: all user and system access shall be authenticated; privileged access and remote access shall require multi-factor authentication</w:t>
      </w:r>
    </w:p>
    <w:p>
      <w:pPr>
        <w:pStyle w:val="ListParagraph"/>
        <w:numPr>
          <w:ilvl w:val="0"/>
          <w:numId w:val="2"/>
        </w:numPr>
        <w:spacing w:after="40" w:before="20"/>
        <w:ind w:left="540" w:hanging="360"/>
      </w:pPr>
      <w:r>
        <w:rPr>
          <w:rFonts w:ascii="Arial" w:cs="Arial" w:eastAsia="Arial" w:hAnsi="Arial"/>
          <w:sz w:val="20"/>
          <w:szCs w:val="20"/>
        </w:rPr>
        <w:t xml:space="preserve">Secure update mechanism: firmware and software update channels shall be cryptographically signed and verified before installation</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5.5  Secure Coding</w:t>
      </w:r>
    </w:p>
    <w:p>
      <w:pPr>
        <w:spacing w:after="80" w:before="40"/>
      </w:pPr>
      <w:r>
        <w:rPr>
          <w:rFonts w:ascii="Arial" w:cs="Arial" w:eastAsia="Arial" w:hAnsi="Arial"/>
          <w:color w:val="000000"/>
          <w:sz w:val="20"/>
          <w:szCs w:val="20"/>
        </w:rPr>
        <w:t xml:space="preserve">All software development shall comply with the following secure coding requirements:</w:t>
      </w:r>
    </w:p>
    <w:p>
      <w:pPr>
        <w:pStyle w:val="ListParagraph"/>
        <w:numPr>
          <w:ilvl w:val="0"/>
          <w:numId w:val="2"/>
        </w:numPr>
        <w:spacing w:after="40" w:before="20"/>
        <w:ind w:left="540" w:hanging="360"/>
      </w:pPr>
      <w:r>
        <w:rPr>
          <w:rFonts w:ascii="Arial" w:cs="Arial" w:eastAsia="Arial" w:hAnsi="Arial"/>
          <w:sz w:val="20"/>
          <w:szCs w:val="20"/>
        </w:rPr>
        <w:t xml:space="preserve">A secure coding standard shall be documented and maintained. OWASP Secure Coding Practices and CERT C/C++ Secure Coding Standard are reference frameworks.</w:t>
      </w:r>
    </w:p>
    <w:p>
      <w:pPr>
        <w:pStyle w:val="ListParagraph"/>
        <w:numPr>
          <w:ilvl w:val="0"/>
          <w:numId w:val="2"/>
        </w:numPr>
        <w:spacing w:after="40" w:before="20"/>
        <w:ind w:left="540" w:hanging="360"/>
      </w:pPr>
      <w:r>
        <w:rPr>
          <w:rFonts w:ascii="Arial" w:cs="Arial" w:eastAsia="Arial" w:hAnsi="Arial"/>
          <w:sz w:val="20"/>
          <w:szCs w:val="20"/>
        </w:rPr>
        <w:t xml:space="preserve">Static Application Security Testing (SAST) shall be integrated into the CI/CD pipeline and run on every build.</w:t>
      </w:r>
    </w:p>
    <w:p>
      <w:pPr>
        <w:pStyle w:val="ListParagraph"/>
        <w:numPr>
          <w:ilvl w:val="0"/>
          <w:numId w:val="2"/>
        </w:numPr>
        <w:spacing w:after="40" w:before="20"/>
        <w:ind w:left="540" w:hanging="360"/>
      </w:pPr>
      <w:r>
        <w:rPr>
          <w:rFonts w:ascii="Arial" w:cs="Arial" w:eastAsia="Arial" w:hAnsi="Arial"/>
          <w:sz w:val="20"/>
          <w:szCs w:val="20"/>
        </w:rPr>
        <w:t xml:space="preserve">Dynamic Application Security Testing (DAST) and fuzzing shall be performed at integration milestones.</w:t>
      </w:r>
    </w:p>
    <w:p>
      <w:pPr>
        <w:pStyle w:val="ListParagraph"/>
        <w:numPr>
          <w:ilvl w:val="0"/>
          <w:numId w:val="2"/>
        </w:numPr>
        <w:spacing w:after="40" w:before="20"/>
        <w:ind w:left="540" w:hanging="360"/>
      </w:pPr>
      <w:r>
        <w:rPr>
          <w:rFonts w:ascii="Arial" w:cs="Arial" w:eastAsia="Arial" w:hAnsi="Arial"/>
          <w:sz w:val="20"/>
          <w:szCs w:val="20"/>
        </w:rPr>
        <w:t xml:space="preserve">Open source and third-party component usage shall be approved via the SBOM management process (Section 7). Unapproved components shall not be incorporated into production builds.</w:t>
      </w:r>
    </w:p>
    <w:p>
      <w:pPr>
        <w:pStyle w:val="ListParagraph"/>
        <w:numPr>
          <w:ilvl w:val="0"/>
          <w:numId w:val="2"/>
        </w:numPr>
        <w:spacing w:after="40" w:before="20"/>
        <w:ind w:left="540" w:hanging="360"/>
      </w:pPr>
      <w:r>
        <w:rPr>
          <w:rFonts w:ascii="Arial" w:cs="Arial" w:eastAsia="Arial" w:hAnsi="Arial"/>
          <w:sz w:val="20"/>
          <w:szCs w:val="20"/>
        </w:rPr>
        <w:t xml:space="preserve">Agentic AI development tools (including tools such as OpenClaw or similar autonomous coding agents) shall not be used in the development environment without explicit PSIRT approval, documented risk assessment, and isolation controls. Shadow AI in development environments constitutes a design control integrity risk under ISO 13485.</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5.6  Security Verification and Validation</w:t>
      </w:r>
    </w:p>
    <w:p>
      <w:pPr>
        <w:spacing w:after="80" w:before="40"/>
      </w:pPr>
      <w:r>
        <w:rPr>
          <w:rFonts w:ascii="Arial" w:cs="Arial" w:eastAsia="Arial" w:hAnsi="Arial"/>
          <w:color w:val="000000"/>
          <w:sz w:val="20"/>
          <w:szCs w:val="20"/>
        </w:rPr>
        <w:t xml:space="preserve">The following security V&amp;V activities are mandatory before release: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98"/>
        <w:gridCol w:w="4047"/>
        <w:gridCol w:w="2891"/>
      </w:tblGrid>
      <w:tr>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Activity</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Requirement</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Standard Reference</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Penetration Testing</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Independent penetration test by a qualified third party or internal team with demonstrated independence. Scope shall cover all threat model attack paths. Findings shall be risk-assessed and resolved or formally accepted before release.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IEC 81001-5-1 §7.8; FDA Guidance 2025; MDCG 2019-16</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Vulnerability Scanning</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Automated vulnerability scan against the SBOM, including all open source components. Known Exploited Vulnerabilities (KEVs) shall be resolved before release unless a documented risk acceptance is approved by the Risk Manager and CISO.</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IEC 81001-5-1 §7.6; NIST SP 800-115</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Fuzz Testing</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Fuzz testing of all external-facing interfaces and data parsers. Required for Class B and C software under IEC 62304.</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IEC 81001-5-1 §7.7; IEC 62304</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Threat Model Review</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Formal review of the threat model against the implemented architecture to confirm all threats have been addressed or formally risk-accepted.</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IEC 81001-5-1 §7.3; MITRE Playbook</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Security Traceability Review</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Verification that all identified threats trace to security requirements, which trace to implemented controls, which trace to test evidence. Gaps shall be resolved before release.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IEC 81001-5-1 §7; FDA Guidance 2025</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AI Robustness Testing (AI-enabled devices)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Adversarial input testing, model integrity verification, and data poisoning resistance assessment for AI components. Consistent with MDCG 2025-6 and EU AI Act Article 15.</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MDCG 2025-6; EU AI Act Art. 15; FDA Draft AI Guidance 2025</w:t>
            </w:r>
          </w:p>
        </w:tc>
      </w:tr>
    </w:tbl>
    <w:p>
      <w:r>
        <w:br w:type="page"/>
      </w:r>
    </w:p>
    <w:p>
      <w:pPr>
        <w:pStyle w:val="Heading1"/>
        <w:shd w:fill="1F3864" w:val="clear"/>
        <w:spacing w:after="120" w:before="240"/>
        <w:ind w:left="120" w:right="120"/>
      </w:pPr>
      <w:r>
        <w:rPr>
          <w:rFonts w:ascii="Arial" w:cs="Arial" w:eastAsia="Arial" w:hAnsi="Arial"/>
          <w:b/>
          <w:bCs/>
          <w:color w:val="FFFFFF"/>
          <w:sz w:val="28"/>
          <w:szCs w:val="28"/>
        </w:rPr>
        <w:t xml:space="preserve">6.  CYBERSECURITY RISK MANAGEMENT</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6.1  Integration with ISO 14971</w:t>
      </w:r>
    </w:p>
    <w:p>
      <w:pPr>
        <w:spacing w:after="80" w:before="40"/>
      </w:pPr>
      <w:r>
        <w:rPr>
          <w:rFonts w:ascii="Arial" w:cs="Arial" w:eastAsia="Arial" w:hAnsi="Arial"/>
          <w:color w:val="000000"/>
          <w:sz w:val="20"/>
          <w:szCs w:val="20"/>
        </w:rPr>
        <w:t xml:space="preserve">Cybersecurity risk management shall be fully integrated into the product risk management file under ISO 14971:2019+Amd.2024. Cybersecurity is not a separate risk management process; it is a domain within the existing ISO 14971 framework.</w:t>
      </w:r>
    </w:p>
    <w:p>
      <w:pPr>
        <w:spacing w:after="80" w:before="0"/>
      </w:pPr>
    </w:p>
    <w:p>
      <w:pPr>
        <w:spacing w:after="80" w:before="40"/>
      </w:pPr>
      <w:r>
        <w:rPr>
          <w:rFonts w:ascii="Arial" w:cs="Arial" w:eastAsia="Arial" w:hAnsi="Arial"/>
          <w:color w:val="000000"/>
          <w:sz w:val="20"/>
          <w:szCs w:val="20"/>
        </w:rPr>
        <w:t xml:space="preserve">The following integration points are mandatory:</w:t>
      </w:r>
    </w:p>
    <w:p>
      <w:pPr>
        <w:pStyle w:val="ListParagraph"/>
        <w:numPr>
          <w:ilvl w:val="0"/>
          <w:numId w:val="2"/>
        </w:numPr>
        <w:spacing w:after="40" w:before="20"/>
        <w:ind w:left="540" w:hanging="360"/>
      </w:pPr>
      <w:r>
        <w:rPr>
          <w:rFonts w:ascii="Arial" w:cs="Arial" w:eastAsia="Arial" w:hAnsi="Arial"/>
          <w:sz w:val="20"/>
          <w:szCs w:val="20"/>
        </w:rPr>
        <w:t xml:space="preserve">Cybersecurity hazards shall be identified and documented in the hazard identification step of the risk management process</w:t>
      </w:r>
    </w:p>
    <w:p>
      <w:pPr>
        <w:pStyle w:val="ListParagraph"/>
        <w:numPr>
          <w:ilvl w:val="0"/>
          <w:numId w:val="2"/>
        </w:numPr>
        <w:spacing w:after="40" w:before="20"/>
        <w:ind w:left="540" w:hanging="360"/>
      </w:pPr>
      <w:r>
        <w:rPr>
          <w:rFonts w:ascii="Arial" w:cs="Arial" w:eastAsia="Arial" w:hAnsi="Arial"/>
          <w:sz w:val="20"/>
          <w:szCs w:val="20"/>
        </w:rPr>
        <w:t xml:space="preserve">Foreseeable sequences of events leading from cybersecurity threats to patient harm shall be documented in the risk estimation step</w:t>
      </w:r>
    </w:p>
    <w:p>
      <w:pPr>
        <w:pStyle w:val="ListParagraph"/>
        <w:numPr>
          <w:ilvl w:val="0"/>
          <w:numId w:val="2"/>
        </w:numPr>
        <w:spacing w:after="40" w:before="20"/>
        <w:ind w:left="540" w:hanging="360"/>
      </w:pPr>
      <w:r>
        <w:rPr>
          <w:rFonts w:ascii="Arial" w:cs="Arial" w:eastAsia="Arial" w:hAnsi="Arial"/>
          <w:sz w:val="20"/>
          <w:szCs w:val="20"/>
        </w:rPr>
        <w:t xml:space="preserve">Risk controls shall include security controls as risk reduction measures</w:t>
      </w:r>
    </w:p>
    <w:p>
      <w:pPr>
        <w:pStyle w:val="ListParagraph"/>
        <w:numPr>
          <w:ilvl w:val="0"/>
          <w:numId w:val="2"/>
        </w:numPr>
        <w:spacing w:after="40" w:before="20"/>
        <w:ind w:left="540" w:hanging="360"/>
      </w:pPr>
      <w:r>
        <w:rPr>
          <w:rFonts w:ascii="Arial" w:cs="Arial" w:eastAsia="Arial" w:hAnsi="Arial"/>
          <w:sz w:val="20"/>
          <w:szCs w:val="20"/>
        </w:rPr>
        <w:t xml:space="preserve">Residual risk following security controls shall be evaluated against the benefit-risk criteria defined in the risk management plan</w:t>
      </w:r>
    </w:p>
    <w:p>
      <w:pPr>
        <w:pStyle w:val="ListParagraph"/>
        <w:numPr>
          <w:ilvl w:val="0"/>
          <w:numId w:val="2"/>
        </w:numPr>
        <w:spacing w:after="40" w:before="20"/>
        <w:ind w:left="540" w:hanging="360"/>
      </w:pPr>
      <w:r>
        <w:rPr>
          <w:rFonts w:ascii="Arial" w:cs="Arial" w:eastAsia="Arial" w:hAnsi="Arial"/>
          <w:sz w:val="20"/>
          <w:szCs w:val="20"/>
        </w:rPr>
        <w:t xml:space="preserve">The risk management report shall explicitly confirm that all cybersecurity residual risks are acceptable or that the clinical benefit justifies the residual risk</w:t>
      </w:r>
    </w:p>
    <w:p>
      <w:pPr>
        <w:spacing w:after="80" w:before="0"/>
      </w:pPr>
    </w:p>
    <w:p>
      <w:pPr>
        <w:shd w:fill="EEF4FB" w:val="clear"/>
        <w:spacing w:after="80" w:before="40"/>
        <w:ind w:left="360"/>
      </w:pPr>
      <w:r>
        <w:rPr>
          <w:rFonts w:ascii="Arial" w:cs="Arial" w:eastAsia="Arial" w:hAnsi="Arial"/>
          <w:b/>
          <w:bCs/>
          <w:i/>
          <w:iCs/>
          <w:color w:val="2E5F9A"/>
          <w:sz w:val="18"/>
          <w:szCs w:val="18"/>
        </w:rPr>
        <w:t xml:space="preserve">NOTE: </w:t>
      </w:r>
      <w:r>
        <w:rPr>
          <w:rFonts w:ascii="Arial" w:cs="Arial" w:eastAsia="Arial" w:hAnsi="Arial"/>
          <w:i/>
          <w:iCs/>
          <w:color w:val="444444"/>
          <w:sz w:val="18"/>
          <w:szCs w:val="18"/>
        </w:rPr>
        <w:t xml:space="preserve">A cybersecurity vulnerability that creates a patient safety hazard cannot be accepted on the basis that it is technically difficult to remediate. A documented benefit-risk justification is required. Where benefit does not outweigh risk, the design must be modified.</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6.2  Risk Appetite Statement</w:t>
      </w:r>
    </w:p>
    <w:p>
      <w:pPr>
        <w:spacing w:after="80" w:before="40"/>
      </w:pPr>
      <w:r>
        <w:rPr>
          <w:rFonts w:ascii="Arial" w:cs="Arial" w:eastAsia="Arial" w:hAnsi="Arial"/>
          <w:color w:val="000000"/>
          <w:sz w:val="20"/>
          <w:szCs w:val="20"/>
        </w:rPr>
        <w:t xml:space="preserve">The organisation's cybersecurity risk appetite for medical device products is defined as follows:</w:t>
      </w:r>
    </w:p>
    <w:p>
      <w:pPr>
        <w:pStyle w:val="ListParagraph"/>
        <w:numPr>
          <w:ilvl w:val="0"/>
          <w:numId w:val="2"/>
        </w:numPr>
        <w:spacing w:after="40" w:before="20"/>
        <w:ind w:left="540" w:hanging="360"/>
      </w:pPr>
      <w:r>
        <w:rPr>
          <w:rFonts w:ascii="Arial" w:cs="Arial" w:eastAsia="Arial" w:hAnsi="Arial"/>
          <w:sz w:val="20"/>
          <w:szCs w:val="20"/>
        </w:rPr>
        <w:t xml:space="preserve">ZERO tolerance for known exploited vulnerabilities (KEVs) in fielded devices where a patient safety hazard exists and a patch is available</w:t>
      </w:r>
    </w:p>
    <w:p>
      <w:pPr>
        <w:pStyle w:val="ListParagraph"/>
        <w:numPr>
          <w:ilvl w:val="0"/>
          <w:numId w:val="2"/>
        </w:numPr>
        <w:spacing w:after="40" w:before="20"/>
        <w:ind w:left="540" w:hanging="360"/>
      </w:pPr>
      <w:r>
        <w:rPr>
          <w:rFonts w:ascii="Arial" w:cs="Arial" w:eastAsia="Arial" w:hAnsi="Arial"/>
          <w:sz w:val="20"/>
          <w:szCs w:val="20"/>
        </w:rPr>
        <w:t xml:space="preserve">LOW tolerance for unmitigated CVSS Critical (9.0+) vulnerabilities in deployed devices; target remediation within 30 days of identification</w:t>
      </w:r>
    </w:p>
    <w:p>
      <w:pPr>
        <w:pStyle w:val="ListParagraph"/>
        <w:numPr>
          <w:ilvl w:val="0"/>
          <w:numId w:val="2"/>
        </w:numPr>
        <w:spacing w:after="40" w:before="20"/>
        <w:ind w:left="540" w:hanging="360"/>
      </w:pPr>
      <w:r>
        <w:rPr>
          <w:rFonts w:ascii="Arial" w:cs="Arial" w:eastAsia="Arial" w:hAnsi="Arial"/>
          <w:sz w:val="20"/>
          <w:szCs w:val="20"/>
        </w:rPr>
        <w:t xml:space="preserve">LOW-MODERATE tolerance for CVSS High (7.0–8.9) vulnerabilities; target remediation within 90 days</w:t>
      </w:r>
    </w:p>
    <w:p>
      <w:pPr>
        <w:pStyle w:val="ListParagraph"/>
        <w:numPr>
          <w:ilvl w:val="0"/>
          <w:numId w:val="2"/>
        </w:numPr>
        <w:spacing w:after="40" w:before="20"/>
        <w:ind w:left="540" w:hanging="360"/>
      </w:pPr>
      <w:r>
        <w:rPr>
          <w:rFonts w:ascii="Arial" w:cs="Arial" w:eastAsia="Arial" w:hAnsi="Arial"/>
          <w:sz w:val="20"/>
          <w:szCs w:val="20"/>
        </w:rPr>
        <w:t xml:space="preserve">MODERATE tolerance for CVSS Medium (4.0–6.9) vulnerabilities managed within the post-market surveillance cycle; target remediation within 180 days</w:t>
      </w:r>
    </w:p>
    <w:p>
      <w:pPr>
        <w:pStyle w:val="ListParagraph"/>
        <w:numPr>
          <w:ilvl w:val="0"/>
          <w:numId w:val="2"/>
        </w:numPr>
        <w:spacing w:after="40" w:before="20"/>
        <w:ind w:left="540" w:hanging="360"/>
      </w:pPr>
      <w:r>
        <w:rPr>
          <w:rFonts w:ascii="Arial" w:cs="Arial" w:eastAsia="Arial" w:hAnsi="Arial"/>
          <w:sz w:val="20"/>
          <w:szCs w:val="20"/>
        </w:rPr>
        <w:t xml:space="preserve">Residual risks below CVSS Low (under 4.0) may be accepted with documented rationale subject to annual review</w:t>
      </w:r>
    </w:p>
    <w:p>
      <w:pPr>
        <w:spacing w:after="80" w:before="0"/>
      </w:pPr>
    </w:p>
    <w:p>
      <w:pPr>
        <w:shd w:fill="EEF4FB" w:val="clear"/>
        <w:spacing w:after="80" w:before="40"/>
        <w:ind w:left="360"/>
      </w:pPr>
      <w:r>
        <w:rPr>
          <w:rFonts w:ascii="Arial" w:cs="Arial" w:eastAsia="Arial" w:hAnsi="Arial"/>
          <w:b/>
          <w:bCs/>
          <w:i/>
          <w:iCs/>
          <w:color w:val="2E5F9A"/>
          <w:sz w:val="18"/>
          <w:szCs w:val="18"/>
        </w:rPr>
        <w:t xml:space="preserve">NOTE: </w:t>
      </w:r>
      <w:r>
        <w:rPr>
          <w:rFonts w:ascii="Arial" w:cs="Arial" w:eastAsia="Arial" w:hAnsi="Arial"/>
          <w:i/>
          <w:iCs/>
          <w:color w:val="444444"/>
          <w:sz w:val="18"/>
          <w:szCs w:val="18"/>
        </w:rPr>
        <w:t xml:space="preserve">Risk appetite thresholds shall be reviewed annually by the Risk Manager, CISO, and Head of Quality and updated to reflect the current threat environment.</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6.3  Security Risk Management for AI-Enabled Devices</w:t>
      </w:r>
    </w:p>
    <w:p>
      <w:pPr>
        <w:spacing w:after="80" w:before="40"/>
      </w:pPr>
      <w:r>
        <w:rPr>
          <w:rFonts w:ascii="Arial" w:cs="Arial" w:eastAsia="Arial" w:hAnsi="Arial"/>
          <w:color w:val="000000"/>
          <w:sz w:val="20"/>
          <w:szCs w:val="20"/>
        </w:rPr>
        <w:t xml:space="preserve">For devices incorporating AI/ML components, the following additional risk management activities apply:</w:t>
      </w:r>
    </w:p>
    <w:p>
      <w:pPr>
        <w:pStyle w:val="ListParagraph"/>
        <w:numPr>
          <w:ilvl w:val="0"/>
          <w:numId w:val="2"/>
        </w:numPr>
        <w:spacing w:after="40" w:before="20"/>
        <w:ind w:left="540" w:hanging="360"/>
      </w:pPr>
      <w:r>
        <w:rPr>
          <w:rFonts w:ascii="Arial" w:cs="Arial" w:eastAsia="Arial" w:hAnsi="Arial"/>
          <w:sz w:val="20"/>
          <w:szCs w:val="20"/>
        </w:rPr>
        <w:t xml:space="preserve">Data integrity risk: assess the risk that training data or inference data is manipulated (data poisoning, adversarial inputs). Document controls including data provenance tracking, input validation, and anomaly detection.</w:t>
      </w:r>
    </w:p>
    <w:p>
      <w:pPr>
        <w:pStyle w:val="ListParagraph"/>
        <w:numPr>
          <w:ilvl w:val="0"/>
          <w:numId w:val="2"/>
        </w:numPr>
        <w:spacing w:after="40" w:before="20"/>
        <w:ind w:left="540" w:hanging="360"/>
      </w:pPr>
      <w:r>
        <w:rPr>
          <w:rFonts w:ascii="Arial" w:cs="Arial" w:eastAsia="Arial" w:hAnsi="Arial"/>
          <w:sz w:val="20"/>
          <w:szCs w:val="20"/>
        </w:rPr>
        <w:t xml:space="preserve">Model drift risk: define acceptable performance thresholds (e.g. ROC-AUC thresholds) and establish post-market monitoring to detect unacceptable drift. Trigger CAPA if thresholds are exceeded.</w:t>
      </w:r>
    </w:p>
    <w:p>
      <w:pPr>
        <w:pStyle w:val="ListParagraph"/>
        <w:numPr>
          <w:ilvl w:val="0"/>
          <w:numId w:val="2"/>
        </w:numPr>
        <w:spacing w:after="40" w:before="20"/>
        <w:ind w:left="540" w:hanging="360"/>
      </w:pPr>
      <w:r>
        <w:rPr>
          <w:rFonts w:ascii="Arial" w:cs="Arial" w:eastAsia="Arial" w:hAnsi="Arial"/>
          <w:sz w:val="20"/>
          <w:szCs w:val="20"/>
        </w:rPr>
        <w:t xml:space="preserve">Opacity risk: document the explainability approach for the AI component and assess the risk that opaque model decisions cannot be audited or contested. Higher-risk AI applications shall use interpretable architectures or provide explanation mechanisms.</w:t>
      </w:r>
    </w:p>
    <w:p>
      <w:pPr>
        <w:pStyle w:val="ListParagraph"/>
        <w:numPr>
          <w:ilvl w:val="0"/>
          <w:numId w:val="2"/>
        </w:numPr>
        <w:spacing w:after="40" w:before="20"/>
        <w:ind w:left="540" w:hanging="360"/>
      </w:pPr>
      <w:r>
        <w:rPr>
          <w:rFonts w:ascii="Arial" w:cs="Arial" w:eastAsia="Arial" w:hAnsi="Arial"/>
          <w:sz w:val="20"/>
          <w:szCs w:val="20"/>
        </w:rPr>
        <w:t xml:space="preserve">Supply chain AI risk: assess third-party AI models, pre-trained foundation models, and community-contributed model components for supply chain integrity. Unapproved foundation models shall not be deployed in production.</w:t>
      </w:r>
    </w:p>
    <w:p>
      <w:r>
        <w:br w:type="page"/>
      </w:r>
    </w:p>
    <w:p>
      <w:pPr>
        <w:pStyle w:val="Heading1"/>
        <w:shd w:fill="1F3864" w:val="clear"/>
        <w:spacing w:after="120" w:before="240"/>
        <w:ind w:left="120" w:right="120"/>
      </w:pPr>
      <w:r>
        <w:rPr>
          <w:rFonts w:ascii="Arial" w:cs="Arial" w:eastAsia="Arial" w:hAnsi="Arial"/>
          <w:b/>
          <w:bCs/>
          <w:color w:val="FFFFFF"/>
          <w:sz w:val="28"/>
          <w:szCs w:val="28"/>
        </w:rPr>
        <w:t xml:space="preserve">7.  SOFTWARE BILL OF MATERIALS AND COMPONENT MANAGEMENT</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7.1  SBOM Requirements</w:t>
      </w:r>
    </w:p>
    <w:p>
      <w:pPr>
        <w:spacing w:after="80" w:before="40"/>
      </w:pPr>
      <w:r>
        <w:rPr>
          <w:rFonts w:ascii="Arial" w:cs="Arial" w:eastAsia="Arial" w:hAnsi="Arial"/>
          <w:color w:val="000000"/>
          <w:sz w:val="20"/>
          <w:szCs w:val="20"/>
        </w:rPr>
        <w:t xml:space="preserve">A Software Bill of Materials (SBOM) shall be maintained for every product in scope. The SBOM shall:</w:t>
      </w:r>
    </w:p>
    <w:p>
      <w:pPr>
        <w:pStyle w:val="ListParagraph"/>
        <w:numPr>
          <w:ilvl w:val="0"/>
          <w:numId w:val="2"/>
        </w:numPr>
        <w:spacing w:after="40" w:before="20"/>
        <w:ind w:left="540" w:hanging="360"/>
      </w:pPr>
      <w:r>
        <w:rPr>
          <w:rFonts w:ascii="Arial" w:cs="Arial" w:eastAsia="Arial" w:hAnsi="Arial"/>
          <w:sz w:val="20"/>
          <w:szCs w:val="20"/>
        </w:rPr>
        <w:t xml:space="preserve">Be generated automatically as part of the build process and stored under configuration management</w:t>
      </w:r>
    </w:p>
    <w:p>
      <w:pPr>
        <w:pStyle w:val="ListParagraph"/>
        <w:numPr>
          <w:ilvl w:val="0"/>
          <w:numId w:val="2"/>
        </w:numPr>
        <w:spacing w:after="40" w:before="20"/>
        <w:ind w:left="540" w:hanging="360"/>
      </w:pPr>
      <w:r>
        <w:rPr>
          <w:rFonts w:ascii="Arial" w:cs="Arial" w:eastAsia="Arial" w:hAnsi="Arial"/>
          <w:sz w:val="20"/>
          <w:szCs w:val="20"/>
        </w:rPr>
        <w:t xml:space="preserve">Include all software components, open source libraries, third-party dependencies, AI model artefacts, and firmware components</w:t>
      </w:r>
    </w:p>
    <w:p>
      <w:pPr>
        <w:pStyle w:val="ListParagraph"/>
        <w:numPr>
          <w:ilvl w:val="0"/>
          <w:numId w:val="2"/>
        </w:numPr>
        <w:spacing w:after="40" w:before="20"/>
        <w:ind w:left="540" w:hanging="360"/>
      </w:pPr>
      <w:r>
        <w:rPr>
          <w:rFonts w:ascii="Arial" w:cs="Arial" w:eastAsia="Arial" w:hAnsi="Arial"/>
          <w:sz w:val="20"/>
          <w:szCs w:val="20"/>
        </w:rPr>
        <w:t xml:space="preserve">Comply with CycloneDX or SPDX format to ensure machine readability and interoperability</w:t>
      </w:r>
    </w:p>
    <w:p>
      <w:pPr>
        <w:pStyle w:val="ListParagraph"/>
        <w:numPr>
          <w:ilvl w:val="0"/>
          <w:numId w:val="2"/>
        </w:numPr>
        <w:spacing w:after="40" w:before="20"/>
        <w:ind w:left="540" w:hanging="360"/>
      </w:pPr>
      <w:r>
        <w:rPr>
          <w:rFonts w:ascii="Arial" w:cs="Arial" w:eastAsia="Arial" w:hAnsi="Arial"/>
          <w:sz w:val="20"/>
          <w:szCs w:val="20"/>
        </w:rPr>
        <w:t xml:space="preserve">Be updated with every build; version-controlled with clear traceability to the corresponding device software version</w:t>
      </w:r>
    </w:p>
    <w:p>
      <w:pPr>
        <w:pStyle w:val="ListParagraph"/>
        <w:numPr>
          <w:ilvl w:val="0"/>
          <w:numId w:val="2"/>
        </w:numPr>
        <w:spacing w:after="40" w:before="20"/>
        <w:ind w:left="540" w:hanging="360"/>
      </w:pPr>
      <w:r>
        <w:rPr>
          <w:rFonts w:ascii="Arial" w:cs="Arial" w:eastAsia="Arial" w:hAnsi="Arial"/>
          <w:sz w:val="20"/>
          <w:szCs w:val="20"/>
        </w:rPr>
        <w:t xml:space="preserve">Be available to healthcare operators upon request, consistent with IEC TS 81001-2-2:2025 and NIS2 supply chain security requirements</w:t>
      </w:r>
    </w:p>
    <w:p>
      <w:pPr>
        <w:spacing w:after="80" w:before="0"/>
      </w:pPr>
    </w:p>
    <w:p>
      <w:pPr>
        <w:shd w:fill="EEF4FB" w:val="clear"/>
        <w:spacing w:after="80" w:before="40"/>
        <w:ind w:left="360"/>
      </w:pPr>
      <w:r>
        <w:rPr>
          <w:rFonts w:ascii="Arial" w:cs="Arial" w:eastAsia="Arial" w:hAnsi="Arial"/>
          <w:b/>
          <w:bCs/>
          <w:i/>
          <w:iCs/>
          <w:color w:val="2E5F9A"/>
          <w:sz w:val="18"/>
          <w:szCs w:val="18"/>
        </w:rPr>
        <w:t xml:space="preserve">NOTE: </w:t>
      </w:r>
      <w:r>
        <w:rPr>
          <w:rFonts w:ascii="Arial" w:cs="Arial" w:eastAsia="Arial" w:hAnsi="Arial"/>
          <w:i/>
          <w:iCs/>
          <w:color w:val="444444"/>
          <w:sz w:val="18"/>
          <w:szCs w:val="18"/>
        </w:rPr>
        <w:t xml:space="preserve">From 2026, 35% of procurement decision-makers will not consider a device without an SBOM, and 56% have rejected devices on security grounds. SBOM capability is a market access requirement, not solely a compliance obligation.</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7.2  Continuous Vulnerability Monitoring</w:t>
      </w:r>
    </w:p>
    <w:p>
      <w:pPr>
        <w:spacing w:after="80" w:before="40"/>
      </w:pPr>
      <w:r>
        <w:rPr>
          <w:rFonts w:ascii="Arial" w:cs="Arial" w:eastAsia="Arial" w:hAnsi="Arial"/>
          <w:color w:val="000000"/>
          <w:sz w:val="20"/>
          <w:szCs w:val="20"/>
        </w:rPr>
        <w:t xml:space="preserve">The SBOM shall be continuously monitored against:</w:t>
      </w:r>
    </w:p>
    <w:p>
      <w:pPr>
        <w:pStyle w:val="ListParagraph"/>
        <w:numPr>
          <w:ilvl w:val="0"/>
          <w:numId w:val="2"/>
        </w:numPr>
        <w:spacing w:after="40" w:before="20"/>
        <w:ind w:left="540" w:hanging="360"/>
      </w:pPr>
      <w:r>
        <w:rPr>
          <w:rFonts w:ascii="Arial" w:cs="Arial" w:eastAsia="Arial" w:hAnsi="Arial"/>
          <w:sz w:val="20"/>
          <w:szCs w:val="20"/>
        </w:rPr>
        <w:t xml:space="preserve">NIST National Vulnerability Database (NVD) — noting that NVD triage capacity is currently constrained; supplement with additional feeds</w:t>
      </w:r>
    </w:p>
    <w:p>
      <w:pPr>
        <w:pStyle w:val="ListParagraph"/>
        <w:numPr>
          <w:ilvl w:val="0"/>
          <w:numId w:val="2"/>
        </w:numPr>
        <w:spacing w:after="40" w:before="20"/>
        <w:ind w:left="540" w:hanging="360"/>
      </w:pPr>
      <w:r>
        <w:rPr>
          <w:rFonts w:ascii="Arial" w:cs="Arial" w:eastAsia="Arial" w:hAnsi="Arial"/>
          <w:sz w:val="20"/>
          <w:szCs w:val="20"/>
        </w:rPr>
        <w:t xml:space="preserve">CISA Known Exploited Vulnerabilities (KEV) catalogue</w:t>
      </w:r>
    </w:p>
    <w:p>
      <w:pPr>
        <w:pStyle w:val="ListParagraph"/>
        <w:numPr>
          <w:ilvl w:val="0"/>
          <w:numId w:val="2"/>
        </w:numPr>
        <w:spacing w:after="40" w:before="20"/>
        <w:ind w:left="540" w:hanging="360"/>
      </w:pPr>
      <w:r>
        <w:rPr>
          <w:rFonts w:ascii="Arial" w:cs="Arial" w:eastAsia="Arial" w:hAnsi="Arial"/>
          <w:sz w:val="20"/>
          <w:szCs w:val="20"/>
        </w:rPr>
        <w:t xml:space="preserve">Health-ISAC threat intelligence feeds</w:t>
      </w:r>
    </w:p>
    <w:p>
      <w:pPr>
        <w:pStyle w:val="ListParagraph"/>
        <w:numPr>
          <w:ilvl w:val="0"/>
          <w:numId w:val="2"/>
        </w:numPr>
        <w:spacing w:after="40" w:before="20"/>
        <w:ind w:left="540" w:hanging="360"/>
      </w:pPr>
      <w:r>
        <w:rPr>
          <w:rFonts w:ascii="Arial" w:cs="Arial" w:eastAsia="Arial" w:hAnsi="Arial"/>
          <w:sz w:val="20"/>
          <w:szCs w:val="20"/>
        </w:rPr>
        <w:t xml:space="preserve">ENISA vulnerability notifications</w:t>
      </w:r>
    </w:p>
    <w:p>
      <w:pPr>
        <w:pStyle w:val="ListParagraph"/>
        <w:numPr>
          <w:ilvl w:val="0"/>
          <w:numId w:val="2"/>
        </w:numPr>
        <w:spacing w:after="40" w:before="20"/>
        <w:ind w:left="540" w:hanging="360"/>
      </w:pPr>
      <w:r>
        <w:rPr>
          <w:rFonts w:ascii="Arial" w:cs="Arial" w:eastAsia="Arial" w:hAnsi="Arial"/>
          <w:sz w:val="20"/>
          <w:szCs w:val="20"/>
        </w:rPr>
        <w:t xml:space="preserve">Vendor security advisories for all components in the SBOM</w:t>
      </w:r>
    </w:p>
    <w:p>
      <w:pPr>
        <w:spacing w:after="80" w:before="0"/>
      </w:pPr>
    </w:p>
    <w:p>
      <w:pPr>
        <w:spacing w:after="80" w:before="40"/>
      </w:pPr>
      <w:r>
        <w:rPr>
          <w:rFonts w:ascii="Arial" w:cs="Arial" w:eastAsia="Arial" w:hAnsi="Arial"/>
          <w:color w:val="000000"/>
          <w:sz w:val="20"/>
          <w:szCs w:val="20"/>
        </w:rPr>
        <w:t xml:space="preserve">A new vulnerability alert shall trigger the Vulnerability Management procedure (Section 9.2) within 24 hours of identification. Automated tooling shall be used for SBOM-to-vulnerability database matching where technically feasible.</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7.3  Third-Party and Supply Chain Security</w:t>
      </w:r>
    </w:p>
    <w:p>
      <w:pPr>
        <w:spacing w:after="80" w:before="40"/>
      </w:pPr>
      <w:r>
        <w:rPr>
          <w:rFonts w:ascii="Arial" w:cs="Arial" w:eastAsia="Arial" w:hAnsi="Arial"/>
          <w:color w:val="000000"/>
          <w:sz w:val="20"/>
          <w:szCs w:val="20"/>
        </w:rPr>
        <w:t xml:space="preserve">All third-party software suppliers and component vendors shall be assessed for cybersecurity maturity as part of supplier qualification under ISO 13485 §7.4. Security assessment criteria shall include:</w:t>
      </w:r>
    </w:p>
    <w:p>
      <w:pPr>
        <w:pStyle w:val="ListParagraph"/>
        <w:numPr>
          <w:ilvl w:val="0"/>
          <w:numId w:val="2"/>
        </w:numPr>
        <w:spacing w:after="40" w:before="20"/>
        <w:ind w:left="540" w:hanging="360"/>
      </w:pPr>
      <w:r>
        <w:rPr>
          <w:rFonts w:ascii="Arial" w:cs="Arial" w:eastAsia="Arial" w:hAnsi="Arial"/>
          <w:sz w:val="20"/>
          <w:szCs w:val="20"/>
        </w:rPr>
        <w:t xml:space="preserve">Evidence of a documented secure development lifecycle (IEC 81001-5-1 or IEC 62443-4-1 alignment)</w:t>
      </w:r>
    </w:p>
    <w:p>
      <w:pPr>
        <w:pStyle w:val="ListParagraph"/>
        <w:numPr>
          <w:ilvl w:val="0"/>
          <w:numId w:val="2"/>
        </w:numPr>
        <w:spacing w:after="40" w:before="20"/>
        <w:ind w:left="540" w:hanging="360"/>
      </w:pPr>
      <w:r>
        <w:rPr>
          <w:rFonts w:ascii="Arial" w:cs="Arial" w:eastAsia="Arial" w:hAnsi="Arial"/>
          <w:sz w:val="20"/>
          <w:szCs w:val="20"/>
        </w:rPr>
        <w:t xml:space="preserve">Vulnerability disclosure policy and CVD process in place (ISO/IEC 29147 alignment)</w:t>
      </w:r>
    </w:p>
    <w:p>
      <w:pPr>
        <w:pStyle w:val="ListParagraph"/>
        <w:numPr>
          <w:ilvl w:val="0"/>
          <w:numId w:val="2"/>
        </w:numPr>
        <w:spacing w:after="40" w:before="20"/>
        <w:ind w:left="540" w:hanging="360"/>
      </w:pPr>
      <w:r>
        <w:rPr>
          <w:rFonts w:ascii="Arial" w:cs="Arial" w:eastAsia="Arial" w:hAnsi="Arial"/>
          <w:sz w:val="20"/>
          <w:szCs w:val="20"/>
        </w:rPr>
        <w:t xml:space="preserve">Ability to provide SBOM for supplied components</w:t>
      </w:r>
    </w:p>
    <w:p>
      <w:pPr>
        <w:pStyle w:val="ListParagraph"/>
        <w:numPr>
          <w:ilvl w:val="0"/>
          <w:numId w:val="2"/>
        </w:numPr>
        <w:spacing w:after="40" w:before="20"/>
        <w:ind w:left="540" w:hanging="360"/>
      </w:pPr>
      <w:r>
        <w:rPr>
          <w:rFonts w:ascii="Arial" w:cs="Arial" w:eastAsia="Arial" w:hAnsi="Arial"/>
          <w:sz w:val="20"/>
          <w:szCs w:val="20"/>
        </w:rPr>
        <w:t xml:space="preserve">Contractual commitment to timely security patching and notification of vulnerabilities</w:t>
      </w:r>
    </w:p>
    <w:p>
      <w:pPr>
        <w:pStyle w:val="ListParagraph"/>
        <w:numPr>
          <w:ilvl w:val="0"/>
          <w:numId w:val="2"/>
        </w:numPr>
        <w:spacing w:after="40" w:before="20"/>
        <w:ind w:left="540" w:hanging="360"/>
      </w:pPr>
      <w:r>
        <w:rPr>
          <w:rFonts w:ascii="Arial" w:cs="Arial" w:eastAsia="Arial" w:hAnsi="Arial"/>
          <w:sz w:val="20"/>
          <w:szCs w:val="20"/>
        </w:rPr>
        <w:t xml:space="preserve">For AI model vendors: documented training data provenance, model testing methodology, and post-deployment monitoring capability</w:t>
      </w:r>
    </w:p>
    <w:p>
      <w:r>
        <w:br w:type="page"/>
      </w:r>
    </w:p>
    <w:p>
      <w:pPr>
        <w:pStyle w:val="Heading1"/>
        <w:shd w:fill="1F3864" w:val="clear"/>
        <w:spacing w:after="120" w:before="240"/>
        <w:ind w:left="120" w:right="120"/>
      </w:pPr>
      <w:r>
        <w:rPr>
          <w:rFonts w:ascii="Arial" w:cs="Arial" w:eastAsia="Arial" w:hAnsi="Arial"/>
          <w:b/>
          <w:bCs/>
          <w:color w:val="FFFFFF"/>
          <w:sz w:val="28"/>
          <w:szCs w:val="28"/>
        </w:rPr>
        <w:t xml:space="preserve">8.  SECURITY LABELLING AND OPERATOR COMMUNICATION</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8.1  Device Labelling</w:t>
      </w:r>
    </w:p>
    <w:p>
      <w:pPr>
        <w:spacing w:after="80" w:before="40"/>
      </w:pPr>
      <w:r>
        <w:rPr>
          <w:rFonts w:ascii="Arial" w:cs="Arial" w:eastAsia="Arial" w:hAnsi="Arial"/>
          <w:color w:val="000000"/>
          <w:sz w:val="20"/>
          <w:szCs w:val="20"/>
        </w:rPr>
        <w:t xml:space="preserve">All connected medical devices shall include the following cybersecurity information in the Instructions for Use (IFU) or accompanying documentation, consistent with MDCG 2019-16 and FDA Cybersecurity Guidance:</w:t>
      </w:r>
    </w:p>
    <w:p>
      <w:pPr>
        <w:pStyle w:val="ListParagraph"/>
        <w:numPr>
          <w:ilvl w:val="0"/>
          <w:numId w:val="2"/>
        </w:numPr>
        <w:spacing w:after="40" w:before="20"/>
        <w:ind w:left="540" w:hanging="360"/>
      </w:pPr>
      <w:r>
        <w:rPr>
          <w:rFonts w:ascii="Arial" w:cs="Arial" w:eastAsia="Arial" w:hAnsi="Arial"/>
          <w:sz w:val="20"/>
          <w:szCs w:val="20"/>
        </w:rPr>
        <w:t xml:space="preserve">Minimum security requirements for the intended use environment (network configuration, firewall rules, authentication requirements)</w:t>
      </w:r>
    </w:p>
    <w:p>
      <w:pPr>
        <w:pStyle w:val="ListParagraph"/>
        <w:numPr>
          <w:ilvl w:val="0"/>
          <w:numId w:val="2"/>
        </w:numPr>
        <w:spacing w:after="40" w:before="20"/>
        <w:ind w:left="540" w:hanging="360"/>
      </w:pPr>
      <w:r>
        <w:rPr>
          <w:rFonts w:ascii="Arial" w:cs="Arial" w:eastAsia="Arial" w:hAnsi="Arial"/>
          <w:sz w:val="20"/>
          <w:szCs w:val="20"/>
        </w:rPr>
        <w:t xml:space="preserve">Known contraindications or security limitations</w:t>
      </w:r>
    </w:p>
    <w:p>
      <w:pPr>
        <w:pStyle w:val="ListParagraph"/>
        <w:numPr>
          <w:ilvl w:val="0"/>
          <w:numId w:val="2"/>
        </w:numPr>
        <w:spacing w:after="40" w:before="20"/>
        <w:ind w:left="540" w:hanging="360"/>
      </w:pPr>
      <w:r>
        <w:rPr>
          <w:rFonts w:ascii="Arial" w:cs="Arial" w:eastAsia="Arial" w:hAnsi="Arial"/>
          <w:sz w:val="20"/>
          <w:szCs w:val="20"/>
        </w:rPr>
        <w:t xml:space="preserve">Instructions for secure configuration and hardening</w:t>
      </w:r>
    </w:p>
    <w:p>
      <w:pPr>
        <w:pStyle w:val="ListParagraph"/>
        <w:numPr>
          <w:ilvl w:val="0"/>
          <w:numId w:val="2"/>
        </w:numPr>
        <w:spacing w:after="40" w:before="20"/>
        <w:ind w:left="540" w:hanging="360"/>
      </w:pPr>
      <w:r>
        <w:rPr>
          <w:rFonts w:ascii="Arial" w:cs="Arial" w:eastAsia="Arial" w:hAnsi="Arial"/>
          <w:sz w:val="20"/>
          <w:szCs w:val="20"/>
        </w:rPr>
        <w:t xml:space="preserve">Process for reporting security vulnerabilities (CVD contact information)</w:t>
      </w:r>
    </w:p>
    <w:p>
      <w:pPr>
        <w:pStyle w:val="ListParagraph"/>
        <w:numPr>
          <w:ilvl w:val="0"/>
          <w:numId w:val="2"/>
        </w:numPr>
        <w:spacing w:after="40" w:before="20"/>
        <w:ind w:left="540" w:hanging="360"/>
      </w:pPr>
      <w:r>
        <w:rPr>
          <w:rFonts w:ascii="Arial" w:cs="Arial" w:eastAsia="Arial" w:hAnsi="Arial"/>
          <w:sz w:val="20"/>
          <w:szCs w:val="20"/>
        </w:rPr>
        <w:t xml:space="preserve">Support lifetime and end-of-support date</w:t>
      </w:r>
    </w:p>
    <w:p>
      <w:pPr>
        <w:pStyle w:val="ListParagraph"/>
        <w:numPr>
          <w:ilvl w:val="0"/>
          <w:numId w:val="2"/>
        </w:numPr>
        <w:spacing w:after="40" w:before="20"/>
        <w:ind w:left="540" w:hanging="360"/>
      </w:pPr>
      <w:r>
        <w:rPr>
          <w:rFonts w:ascii="Arial" w:cs="Arial" w:eastAsia="Arial" w:hAnsi="Arial"/>
          <w:sz w:val="20"/>
          <w:szCs w:val="20"/>
        </w:rPr>
        <w:t xml:space="preserve">SBOM availability information</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8.2  MDS2 and IEC TS 81001-2-2 Disclosure</w:t>
      </w:r>
    </w:p>
    <w:p>
      <w:pPr>
        <w:spacing w:after="80" w:before="40"/>
      </w:pPr>
      <w:r>
        <w:rPr>
          <w:rFonts w:ascii="Arial" w:cs="Arial" w:eastAsia="Arial" w:hAnsi="Arial"/>
          <w:color w:val="000000"/>
          <w:sz w:val="20"/>
          <w:szCs w:val="20"/>
        </w:rPr>
        <w:t xml:space="preserve">A completed Manufacturer Disclosure Statement for Medical Device Security (MDS2) or IEC TS 81001-2-2:2025 equivalent shall be maintained for each device and provided to healthcare operators upon request. The disclosure shall be updated when security properties change materially.</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8.3  End-of-Support Communication</w:t>
      </w:r>
    </w:p>
    <w:p>
      <w:pPr>
        <w:spacing w:after="80" w:before="40"/>
      </w:pPr>
      <w:r>
        <w:rPr>
          <w:rFonts w:ascii="Arial" w:cs="Arial" w:eastAsia="Arial" w:hAnsi="Arial"/>
          <w:color w:val="000000"/>
          <w:sz w:val="20"/>
          <w:szCs w:val="20"/>
        </w:rPr>
        <w:t xml:space="preserve">Operators shall be notified a minimum of 24 months before a device reaches end-of-software-support. The notification shall include the security risk profile of the unsupported device and available compensating controls or migration options. Continued operation of end-of-support devices with known patient safety implications shall be flagged to the Post-Market Surveillance Lead for escalation.</w:t>
      </w:r>
    </w:p>
    <w:p>
      <w:r>
        <w:br w:type="page"/>
      </w:r>
    </w:p>
    <w:p>
      <w:pPr>
        <w:pStyle w:val="Heading1"/>
        <w:shd w:fill="1F3864" w:val="clear"/>
        <w:spacing w:after="120" w:before="240"/>
        <w:ind w:left="120" w:right="120"/>
      </w:pPr>
      <w:r>
        <w:rPr>
          <w:rFonts w:ascii="Arial" w:cs="Arial" w:eastAsia="Arial" w:hAnsi="Arial"/>
          <w:b/>
          <w:bCs/>
          <w:color w:val="FFFFFF"/>
          <w:sz w:val="28"/>
          <w:szCs w:val="28"/>
        </w:rPr>
        <w:t xml:space="preserve">9.  POST-MARKET SURVEILLANCE AND INCIDENT RESPONSE</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9.1  Post-Market Cybersecurity Surveillance</w:t>
      </w:r>
    </w:p>
    <w:p>
      <w:pPr>
        <w:spacing w:after="80" w:before="40"/>
      </w:pPr>
      <w:r>
        <w:rPr>
          <w:rFonts w:ascii="Arial" w:cs="Arial" w:eastAsia="Arial" w:hAnsi="Arial"/>
          <w:color w:val="000000"/>
          <w:sz w:val="20"/>
          <w:szCs w:val="20"/>
        </w:rPr>
        <w:t xml:space="preserve">The PMS plan shall include a dedicated cybersecurity monitoring section specifying:</w:t>
      </w:r>
    </w:p>
    <w:p>
      <w:pPr>
        <w:pStyle w:val="ListParagraph"/>
        <w:numPr>
          <w:ilvl w:val="0"/>
          <w:numId w:val="2"/>
        </w:numPr>
        <w:spacing w:after="40" w:before="20"/>
        <w:ind w:left="540" w:hanging="360"/>
      </w:pPr>
      <w:r>
        <w:rPr>
          <w:rFonts w:ascii="Arial" w:cs="Arial" w:eastAsia="Arial" w:hAnsi="Arial"/>
          <w:sz w:val="20"/>
          <w:szCs w:val="20"/>
        </w:rPr>
        <w:t xml:space="preserve">Sources to be monitored: ENISA advisories, national CSIRTs, Health-ISAC, CISA KEV catalogue, vendor advisories, scientific literature, regulatory authority safety communications</w:t>
      </w:r>
    </w:p>
    <w:p>
      <w:pPr>
        <w:pStyle w:val="ListParagraph"/>
        <w:numPr>
          <w:ilvl w:val="0"/>
          <w:numId w:val="2"/>
        </w:numPr>
        <w:spacing w:after="40" w:before="20"/>
        <w:ind w:left="540" w:hanging="360"/>
      </w:pPr>
      <w:r>
        <w:rPr>
          <w:rFonts w:ascii="Arial" w:cs="Arial" w:eastAsia="Arial" w:hAnsi="Arial"/>
          <w:sz w:val="20"/>
          <w:szCs w:val="20"/>
        </w:rPr>
        <w:t xml:space="preserve">Monitoring frequency: continuous automated SBOM monitoring; weekly manual review of threat intelligence feeds; quarterly threat landscape review</w:t>
      </w:r>
    </w:p>
    <w:p>
      <w:pPr>
        <w:pStyle w:val="ListParagraph"/>
        <w:numPr>
          <w:ilvl w:val="0"/>
          <w:numId w:val="2"/>
        </w:numPr>
        <w:spacing w:after="40" w:before="20"/>
        <w:ind w:left="540" w:hanging="360"/>
      </w:pPr>
      <w:r>
        <w:rPr>
          <w:rFonts w:ascii="Arial" w:cs="Arial" w:eastAsia="Arial" w:hAnsi="Arial"/>
          <w:sz w:val="20"/>
          <w:szCs w:val="20"/>
        </w:rPr>
        <w:t xml:space="preserve">Trigger criteria for threat model update (see Section 5.3)</w:t>
      </w:r>
    </w:p>
    <w:p>
      <w:pPr>
        <w:pStyle w:val="ListParagraph"/>
        <w:numPr>
          <w:ilvl w:val="0"/>
          <w:numId w:val="2"/>
        </w:numPr>
        <w:spacing w:after="40" w:before="20"/>
        <w:ind w:left="540" w:hanging="360"/>
      </w:pPr>
      <w:r>
        <w:rPr>
          <w:rFonts w:ascii="Arial" w:cs="Arial" w:eastAsia="Arial" w:hAnsi="Arial"/>
          <w:sz w:val="20"/>
          <w:szCs w:val="20"/>
        </w:rPr>
        <w:t xml:space="preserve">Trigger criteria for Post-Market Clinical Follow-Up (PMCF) activities where cybersecurity incidents may affect clinical performance data</w:t>
      </w:r>
    </w:p>
    <w:p>
      <w:pPr>
        <w:pStyle w:val="ListParagraph"/>
        <w:numPr>
          <w:ilvl w:val="0"/>
          <w:numId w:val="2"/>
        </w:numPr>
        <w:spacing w:after="40" w:before="20"/>
        <w:ind w:left="540" w:hanging="360"/>
      </w:pPr>
      <w:r>
        <w:rPr>
          <w:rFonts w:ascii="Arial" w:cs="Arial" w:eastAsia="Arial" w:hAnsi="Arial"/>
          <w:sz w:val="20"/>
          <w:szCs w:val="20"/>
        </w:rPr>
        <w:t xml:space="preserve">Integration with the vigilance reporting process under EU MDR Article 87</w:t>
      </w:r>
    </w:p>
    <w:p>
      <w:pPr>
        <w:spacing w:after="80" w:before="0"/>
      </w:pPr>
    </w:p>
    <w:p>
      <w:pPr>
        <w:shd w:fill="EEF4FB" w:val="clear"/>
        <w:spacing w:after="80" w:before="40"/>
        <w:ind w:left="360"/>
      </w:pPr>
      <w:r>
        <w:rPr>
          <w:rFonts w:ascii="Arial" w:cs="Arial" w:eastAsia="Arial" w:hAnsi="Arial"/>
          <w:b/>
          <w:bCs/>
          <w:i/>
          <w:iCs/>
          <w:color w:val="2E5F9A"/>
          <w:sz w:val="18"/>
          <w:szCs w:val="18"/>
        </w:rPr>
        <w:t xml:space="preserve">NOTE: </w:t>
      </w:r>
      <w:r>
        <w:rPr>
          <w:rFonts w:ascii="Arial" w:cs="Arial" w:eastAsia="Arial" w:hAnsi="Arial"/>
          <w:i/>
          <w:iCs/>
          <w:color w:val="444444"/>
          <w:sz w:val="18"/>
          <w:szCs w:val="18"/>
        </w:rPr>
        <w:t xml:space="preserve">PMS cybersecurity monitoring must be a genuine operational activity, not a documentation exercise. A threat model that is not updated from real-world incident data becomes progressively inaccurate. Assign named individuals with calendar-based review obligations.</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9.2  Vulnerability Management</w:t>
      </w:r>
    </w:p>
    <w:p>
      <w:pPr>
        <w:spacing w:after="80" w:before="40"/>
      </w:pPr>
      <w:r>
        <w:rPr>
          <w:rFonts w:ascii="Arial" w:cs="Arial" w:eastAsia="Arial" w:hAnsi="Arial"/>
          <w:color w:val="000000"/>
          <w:sz w:val="20"/>
          <w:szCs w:val="20"/>
        </w:rPr>
        <w:t xml:space="preserve">Upon identification of a new vulnerability affecting a fielded device, the following procedure shall apply:</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771"/>
        <w:gridCol w:w="2409"/>
        <w:gridCol w:w="4047"/>
        <w:gridCol w:w="2409"/>
      </w:tblGrid>
      <w:tr>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Step</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Action</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Detail</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Owner</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1</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Identify &amp; Triage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Receive vulnerability report from automated monitoring, CVD submission, or third party. Assign CVSS score with clinical context. Determine whether vulnerability is exploitable in the deployed device configuration.</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PSIRT Lead</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2</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Patient Safety Assessment</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Assess whether the vulnerability creates a patient safety hazard, per ISO 14971. If yes, immediately notify Risk Manager and Head of Quality.</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Risk Manager + PSIRT</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3</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Regulatory Assessment</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Determine whether a vigilance report is required under EU MDR Art. 87, or MDR field safety corrective action (FSCA). Determine whether NIS2 incident reporting is triggered (significant incidents: 24-hour initial notification to national CSIRT).</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Head of Quality + Regulatory</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4</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Remediation Planning</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Develop remediation plan: patch, compensating control, or risk acceptance. Timelines per risk appetite (Section 6.2). Document in the CAPA system.</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PSIRT + Dev Lead</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5</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Operator Communication</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Notify affected healthcare operators of the vulnerability and available mitigations or patches. Use IEC TS 81001-2-2 format where applicable. Coordinate with sales and customer support.</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PSIRT + Commercial</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6</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Patch Development &amp; Validation</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Develop and validate the patch per IEC 62304 change management procedures. Security regression testing required.</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Dev Lead + QA</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7</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Release &amp; Verification</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Release patch. Confirm deployment with affected operators. Update SBOM and threat model. Close CAPA.</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PSIRT + PMS Lead</w:t>
            </w:r>
          </w:p>
        </w:tc>
      </w:tr>
    </w:tbl>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9.3  Security Incident Response</w:t>
      </w:r>
    </w:p>
    <w:p>
      <w:pPr>
        <w:spacing w:after="80" w:before="40"/>
      </w:pPr>
      <w:r>
        <w:rPr>
          <w:rFonts w:ascii="Arial" w:cs="Arial" w:eastAsia="Arial" w:hAnsi="Arial"/>
          <w:color w:val="000000"/>
          <w:sz w:val="20"/>
          <w:szCs w:val="20"/>
        </w:rPr>
        <w:t xml:space="preserve">A security incident is defined as a confirmed or suspected exploitation of a vulnerability in a fielded medical device or associated system. The incident response procedure shall:</w:t>
      </w:r>
    </w:p>
    <w:p>
      <w:pPr>
        <w:pStyle w:val="ListParagraph"/>
        <w:numPr>
          <w:ilvl w:val="0"/>
          <w:numId w:val="2"/>
        </w:numPr>
        <w:spacing w:after="40" w:before="20"/>
        <w:ind w:left="540" w:hanging="360"/>
      </w:pPr>
      <w:r>
        <w:rPr>
          <w:rFonts w:ascii="Arial" w:cs="Arial" w:eastAsia="Arial" w:hAnsi="Arial"/>
          <w:sz w:val="20"/>
          <w:szCs w:val="20"/>
        </w:rPr>
        <w:t xml:space="preserve">Be activated within 2 hours of confirmed incident identification</w:t>
      </w:r>
    </w:p>
    <w:p>
      <w:pPr>
        <w:pStyle w:val="ListParagraph"/>
        <w:numPr>
          <w:ilvl w:val="0"/>
          <w:numId w:val="2"/>
        </w:numPr>
        <w:spacing w:after="40" w:before="20"/>
        <w:ind w:left="540" w:hanging="360"/>
      </w:pPr>
      <w:r>
        <w:rPr>
          <w:rFonts w:ascii="Arial" w:cs="Arial" w:eastAsia="Arial" w:hAnsi="Arial"/>
          <w:sz w:val="20"/>
          <w:szCs w:val="20"/>
        </w:rPr>
        <w:t xml:space="preserve">Include initial containment actions documented in a pre-approved playbook</w:t>
      </w:r>
    </w:p>
    <w:p>
      <w:pPr>
        <w:pStyle w:val="ListParagraph"/>
        <w:numPr>
          <w:ilvl w:val="0"/>
          <w:numId w:val="2"/>
        </w:numPr>
        <w:spacing w:after="40" w:before="20"/>
        <w:ind w:left="540" w:hanging="360"/>
      </w:pPr>
      <w:r>
        <w:rPr>
          <w:rFonts w:ascii="Arial" w:cs="Arial" w:eastAsia="Arial" w:hAnsi="Arial"/>
          <w:sz w:val="20"/>
          <w:szCs w:val="20"/>
        </w:rPr>
        <w:t xml:space="preserve">Trigger regulatory notifications per the matrix below</w:t>
      </w:r>
    </w:p>
    <w:p>
      <w:pPr>
        <w:pStyle w:val="ListParagraph"/>
        <w:numPr>
          <w:ilvl w:val="0"/>
          <w:numId w:val="2"/>
        </w:numPr>
        <w:spacing w:after="40" w:before="20"/>
        <w:ind w:left="540" w:hanging="360"/>
      </w:pPr>
      <w:r>
        <w:rPr>
          <w:rFonts w:ascii="Arial" w:cs="Arial" w:eastAsia="Arial" w:hAnsi="Arial"/>
          <w:sz w:val="20"/>
          <w:szCs w:val="20"/>
        </w:rPr>
        <w:t xml:space="preserve">Involve the PSIRT Lead, Risk Manager, Head of Quality, CISO, and (where patient harm has occurred or is likely) Clinical Affairs</w:t>
      </w:r>
    </w:p>
    <w:p>
      <w:pPr>
        <w:pStyle w:val="ListParagraph"/>
        <w:numPr>
          <w:ilvl w:val="0"/>
          <w:numId w:val="2"/>
        </w:numPr>
        <w:spacing w:after="40" w:before="20"/>
        <w:ind w:left="540" w:hanging="360"/>
      </w:pPr>
      <w:r>
        <w:rPr>
          <w:rFonts w:ascii="Arial" w:cs="Arial" w:eastAsia="Arial" w:hAnsi="Arial"/>
          <w:sz w:val="20"/>
          <w:szCs w:val="20"/>
        </w:rPr>
        <w:t xml:space="preserve">Be reviewed post-incident within 30 days with documented lessons learned fed back into the threat model and risk management file</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9.4  Regulatory Notification Matrix</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91"/>
        <w:gridCol w:w="2409"/>
        <w:gridCol w:w="2409"/>
        <w:gridCol w:w="1927"/>
      </w:tblGrid>
      <w:tr>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Trigger</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Notification Body</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Deadline</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Owner</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Serious incident involving patient harm (EU MDR Art. 87)</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National competent authority (e.g. HPRA, BfArM, ANSM)</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15 days (immediately reportable events: 2 days)</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Head of Quality</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NIS2 significant incident (essential/important entity)</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National CSIRT + ENISA (via national authority)</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Early warning: 24 hours; Full report: 72 hours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CISO</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NIS2 final report</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National competent authority</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1 month after incident notification</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CISO + Head of Quality</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Field Safety Corrective Action (FSCA)</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National competent authority + EUDAMED</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Per MDCG guidance; before action where practicable</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Head of Quality</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FDA MDR report (US market)</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FDA MedWatch</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30 days (malfunction); 5 days (MDR-reportable)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Regulatory Affairs (US)</w:t>
            </w:r>
          </w:p>
        </w:tc>
      </w:tr>
    </w:tbl>
    <w:p>
      <w:r>
        <w:br w:type="page"/>
      </w:r>
    </w:p>
    <w:p>
      <w:pPr>
        <w:pStyle w:val="Heading1"/>
        <w:shd w:fill="1F3864" w:val="clear"/>
        <w:spacing w:after="120" w:before="240"/>
        <w:ind w:left="120" w:right="120"/>
      </w:pPr>
      <w:r>
        <w:rPr>
          <w:rFonts w:ascii="Arial" w:cs="Arial" w:eastAsia="Arial" w:hAnsi="Arial"/>
          <w:b/>
          <w:bCs/>
          <w:color w:val="FFFFFF"/>
          <w:sz w:val="28"/>
          <w:szCs w:val="28"/>
        </w:rPr>
        <w:t xml:space="preserve">10.  TRAINING AND COMPETENCE</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10.1  Mandatory Training</w:t>
      </w:r>
    </w:p>
    <w:p>
      <w:pPr>
        <w:spacing w:after="80" w:before="40"/>
      </w:pPr>
      <w:r>
        <w:rPr>
          <w:rFonts w:ascii="Arial" w:cs="Arial" w:eastAsia="Arial" w:hAnsi="Arial"/>
          <w:color w:val="000000"/>
          <w:sz w:val="20"/>
          <w:szCs w:val="20"/>
        </w:rPr>
        <w:t xml:space="preserve">All personnel in scope shall complete the following training, documented in the QMS training records: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91"/>
        <w:gridCol w:w="2409"/>
        <w:gridCol w:w="2409"/>
        <w:gridCol w:w="1927"/>
      </w:tblGrid>
      <w:tr>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Training</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Audience</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Frequency</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Evidence</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Cybersecurity awareness — medical device context</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All staff</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Annual</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Certificate of completion</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Secure software development practices (OWASP, IEC 62304 security activities)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Development, QA, Test teams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Annual + on role change</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Assessment score ≥ 75%</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Threat modelling using STRIDE and DFD</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Product Security, RA, Development Leads</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Initial + biennial refresh</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Practical exercise sign-off</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ISO 14971 cybersecurity risk integration</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Risk Managers, QA, RA</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Initial + on standard update</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Assessment + supervisor sign-off</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Incident response and CVD procedures</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PSIRT, CISO, Head of Quality</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Annual tabletop exercise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Tabletop exercise report</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NIS2 obligations (where applicable)</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Senior Management, CISO, Head of Quality</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Initial + on regulatory change</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Certificate of completion</w:t>
            </w:r>
          </w:p>
        </w:tc>
      </w:tr>
    </w:tbl>
    <w:p>
      <w:r>
        <w:br w:type="page"/>
      </w:r>
    </w:p>
    <w:p>
      <w:pPr>
        <w:pStyle w:val="Heading1"/>
        <w:shd w:fill="1F3864" w:val="clear"/>
        <w:spacing w:after="120" w:before="240"/>
        <w:ind w:left="120" w:right="120"/>
      </w:pPr>
      <w:r>
        <w:rPr>
          <w:rFonts w:ascii="Arial" w:cs="Arial" w:eastAsia="Arial" w:hAnsi="Arial"/>
          <w:b/>
          <w:bCs/>
          <w:color w:val="FFFFFF"/>
          <w:sz w:val="28"/>
          <w:szCs w:val="28"/>
        </w:rPr>
        <w:t xml:space="preserve">11.  CYBERSECURITY METRICS AND GOVERNANCE</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11.1  Key Performance Indicators</w:t>
      </w:r>
    </w:p>
    <w:p>
      <w:pPr>
        <w:spacing w:after="80" w:before="40"/>
      </w:pPr>
      <w:r>
        <w:rPr>
          <w:rFonts w:ascii="Arial" w:cs="Arial" w:eastAsia="Arial" w:hAnsi="Arial"/>
          <w:color w:val="000000"/>
          <w:sz w:val="20"/>
          <w:szCs w:val="20"/>
        </w:rPr>
        <w:t xml:space="preserve">The following KPIs shall be tracked and reported to senior management quarterly:</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373"/>
        <w:gridCol w:w="2409"/>
        <w:gridCol w:w="1927"/>
        <w:gridCol w:w="1927"/>
      </w:tblGrid>
      <w:tr>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KPI</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Target</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Owner</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Reporting</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Mean time to patch: CVSS Critical vulnerabilities</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 30 days</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PSIRT Lead</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Quarterly</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Mean time to patch: CVSS High vulnerabilities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 90 days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PSIRT Lead</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Quarterly</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 fielded devices with current SBOM</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100%</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Product Security</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Quarterly</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 new product releases with completed threat model</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100%</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Product Security</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Per release</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Penetration test findings resolved before release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100% Critical/High</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PSIRT + Dev Lead</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Per release</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NIS2 / MDR incident reports submitted on time</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100%</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Head of Quality / CISO</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Per incident</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sz w:val="17"/>
                <w:szCs w:val="17"/>
              </w:rPr>
              <w:t xml:space="preserve">Staff cybersecurity training completion</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 95% of in-scope staff</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QMS Manager</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sz w:val="17"/>
                <w:szCs w:val="17"/>
              </w:rPr>
              <w:t xml:space="preserve">Annually</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sz w:val="17"/>
                <w:szCs w:val="17"/>
              </w:rPr>
              <w:t xml:space="preserve">Supplier cybersecurity assessments current</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100% of critical suppliers</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Procurement + PSIRT</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sz w:val="17"/>
                <w:szCs w:val="17"/>
              </w:rPr>
              <w:t xml:space="preserve">Annually</w:t>
            </w:r>
          </w:p>
        </w:tc>
      </w:tr>
    </w:tbl>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11.2  Management Review</w:t>
      </w:r>
    </w:p>
    <w:p>
      <w:pPr>
        <w:spacing w:after="80" w:before="40"/>
      </w:pPr>
      <w:r>
        <w:rPr>
          <w:rFonts w:ascii="Arial" w:cs="Arial" w:eastAsia="Arial" w:hAnsi="Arial"/>
          <w:color w:val="000000"/>
          <w:sz w:val="20"/>
          <w:szCs w:val="20"/>
        </w:rPr>
        <w:t xml:space="preserve">Cybersecurity shall be a standing agenda item at the Management Review meeting under ISO 13485 §5.6. The review shall address:</w:t>
      </w:r>
    </w:p>
    <w:p>
      <w:pPr>
        <w:pStyle w:val="ListParagraph"/>
        <w:numPr>
          <w:ilvl w:val="0"/>
          <w:numId w:val="2"/>
        </w:numPr>
        <w:spacing w:after="40" w:before="20"/>
        <w:ind w:left="540" w:hanging="360"/>
      </w:pPr>
      <w:r>
        <w:rPr>
          <w:rFonts w:ascii="Arial" w:cs="Arial" w:eastAsia="Arial" w:hAnsi="Arial"/>
          <w:sz w:val="20"/>
          <w:szCs w:val="20"/>
        </w:rPr>
        <w:t xml:space="preserve">KPI performance against targets</w:t>
      </w:r>
    </w:p>
    <w:p>
      <w:pPr>
        <w:pStyle w:val="ListParagraph"/>
        <w:numPr>
          <w:ilvl w:val="0"/>
          <w:numId w:val="2"/>
        </w:numPr>
        <w:spacing w:after="40" w:before="20"/>
        <w:ind w:left="540" w:hanging="360"/>
      </w:pPr>
      <w:r>
        <w:rPr>
          <w:rFonts w:ascii="Arial" w:cs="Arial" w:eastAsia="Arial" w:hAnsi="Arial"/>
          <w:sz w:val="20"/>
          <w:szCs w:val="20"/>
        </w:rPr>
        <w:t xml:space="preserve">Status of open CAPAs related to cybersecurity</w:t>
      </w:r>
    </w:p>
    <w:p>
      <w:pPr>
        <w:pStyle w:val="ListParagraph"/>
        <w:numPr>
          <w:ilvl w:val="0"/>
          <w:numId w:val="2"/>
        </w:numPr>
        <w:spacing w:after="40" w:before="20"/>
        <w:ind w:left="540" w:hanging="360"/>
      </w:pPr>
      <w:r>
        <w:rPr>
          <w:rFonts w:ascii="Arial" w:cs="Arial" w:eastAsia="Arial" w:hAnsi="Arial"/>
          <w:sz w:val="20"/>
          <w:szCs w:val="20"/>
        </w:rPr>
        <w:t xml:space="preserve">Significant incidents or near-misses in the period</w:t>
      </w:r>
    </w:p>
    <w:p>
      <w:pPr>
        <w:pStyle w:val="ListParagraph"/>
        <w:numPr>
          <w:ilvl w:val="0"/>
          <w:numId w:val="2"/>
        </w:numPr>
        <w:spacing w:after="40" w:before="20"/>
        <w:ind w:left="540" w:hanging="360"/>
      </w:pPr>
      <w:r>
        <w:rPr>
          <w:rFonts w:ascii="Arial" w:cs="Arial" w:eastAsia="Arial" w:hAnsi="Arial"/>
          <w:sz w:val="20"/>
          <w:szCs w:val="20"/>
        </w:rPr>
        <w:t xml:space="preserve">Regulatory or standards changes requiring process updates</w:t>
      </w:r>
    </w:p>
    <w:p>
      <w:pPr>
        <w:pStyle w:val="ListParagraph"/>
        <w:numPr>
          <w:ilvl w:val="0"/>
          <w:numId w:val="2"/>
        </w:numPr>
        <w:spacing w:after="40" w:before="20"/>
        <w:ind w:left="540" w:hanging="360"/>
      </w:pPr>
      <w:r>
        <w:rPr>
          <w:rFonts w:ascii="Arial" w:cs="Arial" w:eastAsia="Arial" w:hAnsi="Arial"/>
          <w:sz w:val="20"/>
          <w:szCs w:val="20"/>
        </w:rPr>
        <w:t xml:space="preserve">Resource adequacy for cybersecurity obligations</w:t>
      </w:r>
    </w:p>
    <w:p>
      <w:pPr>
        <w:pStyle w:val="ListParagraph"/>
        <w:numPr>
          <w:ilvl w:val="0"/>
          <w:numId w:val="2"/>
        </w:numPr>
        <w:spacing w:after="40" w:before="20"/>
        <w:ind w:left="540" w:hanging="360"/>
      </w:pPr>
      <w:r>
        <w:rPr>
          <w:rFonts w:ascii="Arial" w:cs="Arial" w:eastAsia="Arial" w:hAnsi="Arial"/>
          <w:sz w:val="20"/>
          <w:szCs w:val="20"/>
        </w:rPr>
        <w:t xml:space="preserve">Emerging threat landscape summary prepared by the PSIRT Lead</w:t>
      </w:r>
    </w:p>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11.3  Internal Audit</w:t>
      </w:r>
    </w:p>
    <w:p>
      <w:pPr>
        <w:spacing w:after="80" w:before="40"/>
      </w:pPr>
      <w:r>
        <w:rPr>
          <w:rFonts w:ascii="Arial" w:cs="Arial" w:eastAsia="Arial" w:hAnsi="Arial"/>
          <w:color w:val="000000"/>
          <w:sz w:val="20"/>
          <w:szCs w:val="20"/>
        </w:rPr>
        <w:t xml:space="preserve">Cybersecurity controls shall be within scope for internal audit under ISO 13485 §8.2.4. The internal audit programme shall include at minimum:</w:t>
      </w:r>
    </w:p>
    <w:p>
      <w:pPr>
        <w:pStyle w:val="ListParagraph"/>
        <w:numPr>
          <w:ilvl w:val="0"/>
          <w:numId w:val="2"/>
        </w:numPr>
        <w:spacing w:after="40" w:before="20"/>
        <w:ind w:left="540" w:hanging="360"/>
      </w:pPr>
      <w:r>
        <w:rPr>
          <w:rFonts w:ascii="Arial" w:cs="Arial" w:eastAsia="Arial" w:hAnsi="Arial"/>
          <w:sz w:val="20"/>
          <w:szCs w:val="20"/>
        </w:rPr>
        <w:t xml:space="preserve">Annual audit of cybersecurity lifecycle activities against this SOP</w:t>
      </w:r>
    </w:p>
    <w:p>
      <w:pPr>
        <w:pStyle w:val="ListParagraph"/>
        <w:numPr>
          <w:ilvl w:val="0"/>
          <w:numId w:val="2"/>
        </w:numPr>
        <w:spacing w:after="40" w:before="20"/>
        <w:ind w:left="540" w:hanging="360"/>
      </w:pPr>
      <w:r>
        <w:rPr>
          <w:rFonts w:ascii="Arial" w:cs="Arial" w:eastAsia="Arial" w:hAnsi="Arial"/>
          <w:sz w:val="20"/>
          <w:szCs w:val="20"/>
        </w:rPr>
        <w:t xml:space="preserve">Spot-check verification of SBOM currency for a sample of fielded products</w:t>
      </w:r>
    </w:p>
    <w:p>
      <w:pPr>
        <w:pStyle w:val="ListParagraph"/>
        <w:numPr>
          <w:ilvl w:val="0"/>
          <w:numId w:val="2"/>
        </w:numPr>
        <w:spacing w:after="40" w:before="20"/>
        <w:ind w:left="540" w:hanging="360"/>
      </w:pPr>
      <w:r>
        <w:rPr>
          <w:rFonts w:ascii="Arial" w:cs="Arial" w:eastAsia="Arial" w:hAnsi="Arial"/>
          <w:sz w:val="20"/>
          <w:szCs w:val="20"/>
        </w:rPr>
        <w:t xml:space="preserve">Review of threat model completeness and post-market update history</w:t>
      </w:r>
    </w:p>
    <w:p>
      <w:pPr>
        <w:pStyle w:val="ListParagraph"/>
        <w:numPr>
          <w:ilvl w:val="0"/>
          <w:numId w:val="2"/>
        </w:numPr>
        <w:spacing w:after="40" w:before="20"/>
        <w:ind w:left="540" w:hanging="360"/>
      </w:pPr>
      <w:r>
        <w:rPr>
          <w:rFonts w:ascii="Arial" w:cs="Arial" w:eastAsia="Arial" w:hAnsi="Arial"/>
          <w:sz w:val="20"/>
          <w:szCs w:val="20"/>
        </w:rPr>
        <w:t xml:space="preserve">Verification of CVD inbox activity and vulnerability response timeliness</w:t>
      </w:r>
    </w:p>
    <w:p>
      <w:r>
        <w:br w:type="page"/>
      </w:r>
    </w:p>
    <w:p>
      <w:pPr>
        <w:pStyle w:val="Heading1"/>
        <w:shd w:fill="1F3864" w:val="clear"/>
        <w:spacing w:after="120" w:before="240"/>
        <w:ind w:left="120" w:right="120"/>
      </w:pPr>
      <w:r>
        <w:rPr>
          <w:rFonts w:ascii="Arial" w:cs="Arial" w:eastAsia="Arial" w:hAnsi="Arial"/>
          <w:b/>
          <w:bCs/>
          <w:color w:val="FFFFFF"/>
          <w:sz w:val="28"/>
          <w:szCs w:val="28"/>
        </w:rPr>
        <w:t xml:space="preserve">12.  DOCUMENT CONTROL AND REVISION HISTORY</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156"/>
        <w:gridCol w:w="1734"/>
        <w:gridCol w:w="1927"/>
        <w:gridCol w:w="4819"/>
      </w:tblGrid>
      <w:tr>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Version</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Date</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Author</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Summary of Changes</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sz w:val="17"/>
                <w:szCs w:val="17"/>
              </w:rPr>
              <w:t xml:space="preserve">1.0</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sz w:val="17"/>
                <w:szCs w:val="17"/>
              </w:rPr>
              <w:t xml:space="preserve">May 2026</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sz w:val="17"/>
                <w:szCs w:val="17"/>
              </w:rPr>
              <w:t xml:space="preserve">[Author Name]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sz w:val="17"/>
                <w:szCs w:val="17"/>
              </w:rPr>
              <w:t xml:space="preserve">Initial issue. Incorporates IEC 81001-5-1:2021 + ISH1:2025, ISO 14971:2019+Amd.2024, IEC 62304, ISO 12207:2017, ISO/IEC 27001:2022, EU MDR 2017/745, NIS2 2022/2555, EU AI Act 2024/1689, MDCG 2019-16 Rev.1, MDCG 2025-6, FDA Cybersecurity Guidance June 2025.</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i/>
                <w:iCs/>
                <w:color w:val="999999"/>
                <w:sz w:val="17"/>
                <w:szCs w:val="17"/>
              </w:rPr>
              <w:t xml:space="preserve">[Next]</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i/>
                <w:iCs/>
                <w:color w:val="999999"/>
                <w:sz w:val="17"/>
                <w:szCs w:val="17"/>
              </w:rPr>
              <w:t xml:space="preserve">[Date]</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i/>
                <w:iCs/>
                <w:color w:val="999999"/>
                <w:sz w:val="17"/>
                <w:szCs w:val="17"/>
              </w:rPr>
              <w:t xml:space="preserve">[Author]</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i/>
                <w:iCs/>
                <w:color w:val="999999"/>
                <w:sz w:val="17"/>
                <w:szCs w:val="17"/>
              </w:rPr>
              <w:t xml:space="preserve">[Changes]</w:t>
            </w:r>
          </w:p>
        </w:tc>
      </w:tr>
    </w:tbl>
    <w:p>
      <w:pPr>
        <w:spacing w:after="80" w:before="0"/>
      </w:pPr>
    </w:p>
    <w:p>
      <w:pPr>
        <w:pStyle w:val="Heading3"/>
        <w:pBdr>
          <w:bottom w:val="single" w:color="2E5F9A" w:sz="4" w:space="1"/>
        </w:pBdr>
        <w:spacing w:after="80" w:before="160"/>
      </w:pPr>
      <w:r>
        <w:rPr>
          <w:rFonts w:ascii="Arial" w:cs="Arial" w:eastAsia="Arial" w:hAnsi="Arial"/>
          <w:b/>
          <w:bCs/>
          <w:color w:val="1F3864"/>
          <w:sz w:val="24"/>
          <w:szCs w:val="24"/>
        </w:rPr>
        <w:t xml:space="preserve">Review Schedule</w:t>
      </w:r>
    </w:p>
    <w:p>
      <w:pPr>
        <w:spacing w:after="80" w:before="40"/>
      </w:pPr>
      <w:r>
        <w:rPr>
          <w:rFonts w:ascii="Arial" w:cs="Arial" w:eastAsia="Arial" w:hAnsi="Arial"/>
          <w:color w:val="000000"/>
          <w:sz w:val="20"/>
          <w:szCs w:val="20"/>
        </w:rPr>
        <w:t xml:space="preserve">This document shall be reviewed:</w:t>
      </w:r>
    </w:p>
    <w:p>
      <w:pPr>
        <w:pStyle w:val="ListParagraph"/>
        <w:numPr>
          <w:ilvl w:val="0"/>
          <w:numId w:val="2"/>
        </w:numPr>
        <w:spacing w:after="40" w:before="20"/>
        <w:ind w:left="540" w:hanging="360"/>
      </w:pPr>
      <w:r>
        <w:rPr>
          <w:rFonts w:ascii="Arial" w:cs="Arial" w:eastAsia="Arial" w:hAnsi="Arial"/>
          <w:sz w:val="20"/>
          <w:szCs w:val="20"/>
        </w:rPr>
        <w:t xml:space="preserve">Annually as part of the ISO 13485 Management Review cycle</w:t>
      </w:r>
    </w:p>
    <w:p>
      <w:pPr>
        <w:pStyle w:val="ListParagraph"/>
        <w:numPr>
          <w:ilvl w:val="0"/>
          <w:numId w:val="2"/>
        </w:numPr>
        <w:spacing w:after="40" w:before="20"/>
        <w:ind w:left="540" w:hanging="360"/>
      </w:pPr>
      <w:r>
        <w:rPr>
          <w:rFonts w:ascii="Arial" w:cs="Arial" w:eastAsia="Arial" w:hAnsi="Arial"/>
          <w:sz w:val="20"/>
          <w:szCs w:val="20"/>
        </w:rPr>
        <w:t xml:space="preserve">Within 60 days of a relevant regulatory or standards update (including new MDCG guidance, NIS2 national transposition, or harmonised standard publication)</w:t>
      </w:r>
    </w:p>
    <w:p>
      <w:pPr>
        <w:pStyle w:val="ListParagraph"/>
        <w:numPr>
          <w:ilvl w:val="0"/>
          <w:numId w:val="2"/>
        </w:numPr>
        <w:spacing w:after="40" w:before="20"/>
        <w:ind w:left="540" w:hanging="360"/>
      </w:pPr>
      <w:r>
        <w:rPr>
          <w:rFonts w:ascii="Arial" w:cs="Arial" w:eastAsia="Arial" w:hAnsi="Arial"/>
          <w:sz w:val="20"/>
          <w:szCs w:val="20"/>
        </w:rPr>
        <w:t xml:space="preserve">Following a significant security incident or near-miss</w:t>
      </w:r>
    </w:p>
    <w:p>
      <w:pPr>
        <w:pStyle w:val="ListParagraph"/>
        <w:numPr>
          <w:ilvl w:val="0"/>
          <w:numId w:val="2"/>
        </w:numPr>
        <w:spacing w:after="40" w:before="20"/>
        <w:ind w:left="540" w:hanging="360"/>
      </w:pPr>
      <w:r>
        <w:rPr>
          <w:rFonts w:ascii="Arial" w:cs="Arial" w:eastAsia="Arial" w:hAnsi="Arial"/>
          <w:sz w:val="20"/>
          <w:szCs w:val="20"/>
        </w:rPr>
        <w:t xml:space="preserve">Upon material change to the product portfolio or threat landscape</w:t>
      </w:r>
    </w:p>
    <w:p>
      <w:pPr>
        <w:spacing w:after="80" w:before="0"/>
      </w:pPr>
    </w:p>
    <w:p>
      <w:pPr>
        <w:pStyle w:val="Heading1"/>
        <w:shd w:fill="1F3864" w:val="clear"/>
        <w:spacing w:after="120" w:before="240"/>
        <w:ind w:left="120" w:right="120"/>
      </w:pPr>
      <w:r>
        <w:rPr>
          <w:rFonts w:ascii="Arial" w:cs="Arial" w:eastAsia="Arial" w:hAnsi="Arial"/>
          <w:b/>
          <w:bCs/>
          <w:color w:val="FFFFFF"/>
          <w:sz w:val="28"/>
          <w:szCs w:val="28"/>
        </w:rPr>
        <w:t xml:space="preserve">13.  RELATED DOCUMENTS</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91"/>
        <w:gridCol w:w="3855"/>
        <w:gridCol w:w="2891"/>
      </w:tblGrid>
      <w:tr>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Document Reference</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Title</w:t>
            </w:r>
          </w:p>
        </w:tc>
        <w:tc>
          <w:tcPr>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tcPr>
          <w:p>
            <w:r>
              <w:rPr>
                <w:rFonts w:ascii="Arial" w:cs="Arial" w:eastAsia="Arial" w:hAnsi="Arial"/>
                <w:b/>
                <w:bCs/>
                <w:color w:val="FFFFFF"/>
                <w:sz w:val="18"/>
                <w:szCs w:val="18"/>
              </w:rPr>
              <w:t xml:space="preserve">Relationship</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bCs/>
                <w:sz w:val="17"/>
                <w:szCs w:val="17"/>
              </w:rPr>
              <w:t xml:space="preserve">SJL-QMS-SOP-001</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val="false"/>
                <w:bCs w:val="false"/>
                <w:sz w:val="17"/>
                <w:szCs w:val="17"/>
              </w:rPr>
              <w:t xml:space="preserve">Quality Management System Overview</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val="false"/>
                <w:bCs w:val="false"/>
                <w:sz w:val="17"/>
                <w:szCs w:val="17"/>
              </w:rPr>
              <w:t xml:space="preserve">Parent QMS document</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bCs/>
                <w:sz w:val="17"/>
                <w:szCs w:val="17"/>
              </w:rPr>
              <w:t xml:space="preserve">SJL-RM-SOP-001</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7"/>
                <w:szCs w:val="17"/>
              </w:rPr>
              <w:t xml:space="preserve">Risk Management Procedure (ISO 14971)</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7"/>
                <w:szCs w:val="17"/>
              </w:rPr>
              <w:t xml:space="preserve">Integrated with Section 6</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bCs/>
                <w:sz w:val="17"/>
                <w:szCs w:val="17"/>
              </w:rPr>
              <w:t xml:space="preserve">SJL-SW-SOP-001</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val="false"/>
                <w:bCs w:val="false"/>
                <w:sz w:val="17"/>
                <w:szCs w:val="17"/>
              </w:rPr>
              <w:t xml:space="preserve">Software Development Lifecycle Procedure (IEC 62304)</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val="false"/>
                <w:bCs w:val="false"/>
                <w:sz w:val="17"/>
                <w:szCs w:val="17"/>
              </w:rPr>
              <w:t xml:space="preserve">Supplemented by Section 5</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bCs/>
                <w:sz w:val="17"/>
                <w:szCs w:val="17"/>
              </w:rPr>
              <w:t xml:space="preserve">SJL-SEC-TMP-001</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7"/>
                <w:szCs w:val="17"/>
              </w:rPr>
              <w:t xml:space="preserve">Threat Model Template (STRIDE/DFD)</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7"/>
                <w:szCs w:val="17"/>
              </w:rPr>
              <w:t xml:space="preserve">Referenced in Section 5.3</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bCs/>
                <w:sz w:val="17"/>
                <w:szCs w:val="17"/>
              </w:rPr>
              <w:t xml:space="preserve">SJL-SEC-TMP-002</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val="false"/>
                <w:bCs w:val="false"/>
                <w:sz w:val="17"/>
                <w:szCs w:val="17"/>
              </w:rPr>
              <w:t xml:space="preserve">Security Development Plan Template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val="false"/>
                <w:bCs w:val="false"/>
                <w:sz w:val="17"/>
                <w:szCs w:val="17"/>
              </w:rPr>
              <w:t xml:space="preserve">Referenced in Section 5.1</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bCs/>
                <w:sz w:val="17"/>
                <w:szCs w:val="17"/>
              </w:rPr>
              <w:t xml:space="preserve">SJL-SEC-TMP-003</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7"/>
                <w:szCs w:val="17"/>
              </w:rPr>
              <w:t xml:space="preserve">SBOM Management Procedure</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7"/>
                <w:szCs w:val="17"/>
              </w:rPr>
              <w:t xml:space="preserve">Referenced in Section 7</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bCs/>
                <w:sz w:val="17"/>
                <w:szCs w:val="17"/>
              </w:rPr>
              <w:t xml:space="preserve">SJL-SEC-TMP-004</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val="false"/>
                <w:bCs w:val="false"/>
                <w:sz w:val="17"/>
                <w:szCs w:val="17"/>
              </w:rPr>
              <w:t xml:space="preserve">Vulnerability Management and CVD Procedure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val="false"/>
                <w:bCs w:val="false"/>
                <w:sz w:val="17"/>
                <w:szCs w:val="17"/>
              </w:rPr>
              <w:t xml:space="preserve">Referenced in Section 9.2</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bCs/>
                <w:sz w:val="17"/>
                <w:szCs w:val="17"/>
              </w:rPr>
              <w:t xml:space="preserve">SJL-SEC-TMP-005</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7"/>
                <w:szCs w:val="17"/>
              </w:rPr>
              <w:t xml:space="preserve">Incident Response Playbook</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7"/>
                <w:szCs w:val="17"/>
              </w:rPr>
              <w:t xml:space="preserve">Referenced in Section 9.3</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bCs/>
                <w:sz w:val="17"/>
                <w:szCs w:val="17"/>
              </w:rPr>
              <w:t xml:space="preserve">SJL-SEC-TMP-006</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val="false"/>
                <w:bCs w:val="false"/>
                <w:sz w:val="17"/>
                <w:szCs w:val="17"/>
              </w:rPr>
              <w:t xml:space="preserve">MDS2 / IEC TS 81001-2-2 Disclosure Template</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val="false"/>
                <w:bCs w:val="false"/>
                <w:sz w:val="17"/>
                <w:szCs w:val="17"/>
              </w:rPr>
              <w:t xml:space="preserve">Referenced in Section 8.2</w:t>
            </w:r>
          </w:p>
        </w:tc>
      </w:tr>
      <w:tr>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bCs/>
                <w:sz w:val="17"/>
                <w:szCs w:val="17"/>
              </w:rPr>
              <w:t xml:space="preserve">SJL-PMS-SOP-001</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7"/>
                <w:szCs w:val="17"/>
              </w:rPr>
              <w:t xml:space="preserve">Post-Market Surveillance Procedure (EU MDR Art. 83)</w:t>
            </w:r>
          </w:p>
        </w:tc>
        <w:tc>
          <w:tcPr>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b w:val="false"/>
                <w:bCs w:val="false"/>
                <w:sz w:val="17"/>
                <w:szCs w:val="17"/>
              </w:rPr>
              <w:t xml:space="preserve">Referenced in Section 9.1</w:t>
            </w:r>
          </w:p>
        </w:tc>
      </w:tr>
      <w:tr>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bCs/>
                <w:sz w:val="17"/>
                <w:szCs w:val="17"/>
              </w:rPr>
              <w:t xml:space="preserve">SJL-SUP-SOP-001</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val="false"/>
                <w:bCs w:val="false"/>
                <w:sz w:val="17"/>
                <w:szCs w:val="17"/>
              </w:rPr>
              <w:t xml:space="preserve">Supplier Qualification Procedure (ISO 13485 §7.4)</w:t>
            </w:r>
          </w:p>
        </w:tc>
        <w:tc>
          <w:tcPr>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tcPr>
          <w:p>
            <w:r>
              <w:rPr>
                <w:rFonts w:ascii="Arial" w:cs="Arial" w:eastAsia="Arial" w:hAnsi="Arial"/>
                <w:b w:val="false"/>
                <w:bCs w:val="false"/>
                <w:sz w:val="17"/>
                <w:szCs w:val="17"/>
              </w:rPr>
              <w:t xml:space="preserve">Referenced in Section 7.3</w:t>
            </w:r>
          </w:p>
        </w:tc>
      </w:tr>
    </w:tbl>
    <w:p>
      <w:pPr>
        <w:spacing w:after="80" w:before="0"/>
      </w:pPr>
    </w:p>
    <w:p>
      <w:pPr>
        <w:pStyle w:val="Heading1"/>
        <w:shd w:fill="1F3864" w:val="clear"/>
        <w:spacing w:after="120" w:before="240"/>
        <w:ind w:left="120" w:right="120"/>
      </w:pPr>
      <w:r>
        <w:rPr>
          <w:rFonts w:ascii="Arial" w:cs="Arial" w:eastAsia="Arial" w:hAnsi="Arial"/>
          <w:b/>
          <w:bCs/>
          <w:color w:val="FFFFFF"/>
          <w:sz w:val="28"/>
          <w:szCs w:val="28"/>
        </w:rPr>
        <w:t xml:space="preserve">APPROVAL AND AUTHORISATION</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2891"/>
        <w:gridCol w:w="2409"/>
        <w:gridCol w:w="1927"/>
      </w:tblGrid>
      <w:tr>
        <w:tc>
          <w:tcPr>
            <w:tcBorders>
              <w:top w:val="single" w:color="AAAAAA" w:sz="1"/>
              <w:left w:val="single" w:color="AAAAAA" w:sz="1"/>
              <w:bottom w:val="single" w:color="AAAAAA" w:sz="1"/>
              <w:right w:val="single" w:color="AAAAAA" w:sz="1"/>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Role</w:t>
            </w:r>
          </w:p>
        </w:tc>
        <w:tc>
          <w:tcPr>
            <w:tcBorders>
              <w:top w:val="single" w:color="AAAAAA" w:sz="1"/>
              <w:left w:val="single" w:color="AAAAAA" w:sz="1"/>
              <w:bottom w:val="single" w:color="AAAAAA" w:sz="1"/>
              <w:right w:val="single" w:color="AAAAAA" w:sz="1"/>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Name</w:t>
            </w:r>
          </w:p>
        </w:tc>
        <w:tc>
          <w:tcPr>
            <w:tcBorders>
              <w:top w:val="single" w:color="AAAAAA" w:sz="1"/>
              <w:left w:val="single" w:color="AAAAAA" w:sz="1"/>
              <w:bottom w:val="single" w:color="AAAAAA" w:sz="1"/>
              <w:right w:val="single" w:color="AAAAAA" w:sz="1"/>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Signature</w:t>
            </w:r>
          </w:p>
        </w:tc>
        <w:tc>
          <w:tcPr>
            <w:tcBorders>
              <w:top w:val="single" w:color="AAAAAA" w:sz="1"/>
              <w:left w:val="single" w:color="AAAAAA" w:sz="1"/>
              <w:bottom w:val="single" w:color="AAAAAA" w:sz="1"/>
              <w:right w:val="single" w:color="AAAAAA" w:sz="1"/>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Date</w:t>
            </w:r>
          </w:p>
        </w:tc>
      </w:tr>
      <w:tr>
        <w:tc>
          <w:tcPr>
            <w:tcBorders>
              <w:top w:val="single" w:color="AAAAAA" w:sz="1"/>
              <w:left w:val="single" w:color="AAAAAA" w:sz="1"/>
              <w:bottom w:val="single" w:color="AAAAAA" w:sz="1"/>
              <w:right w:val="single" w:color="AAAAAA" w:sz="1"/>
            </w:tcBorders>
            <w:shd w:fill="F2F2F2" w:val="clear"/>
            <w:tcMar>
              <w:top w:type="dxa" w:w="100"/>
              <w:left w:type="dxa" w:w="100"/>
              <w:bottom w:type="dxa" w:w="100"/>
              <w:right w:type="dxa" w:w="100"/>
            </w:tcMar>
          </w:tcPr>
          <w:p>
            <w:r>
              <w:rPr>
                <w:rFonts w:ascii="Arial" w:cs="Arial" w:eastAsia="Arial" w:hAnsi="Arial"/>
                <w:b/>
                <w:bCs/>
                <w:sz w:val="17"/>
                <w:szCs w:val="17"/>
              </w:rPr>
              <w:t xml:space="preserve">Prepared By</w:t>
            </w:r>
          </w:p>
        </w:tc>
        <w:tc>
          <w:tcPr>
            <w:tcBorders>
              <w:top w:val="single" w:color="AAAAAA" w:sz="1"/>
              <w:left w:val="single" w:color="AAAAAA" w:sz="1"/>
              <w:bottom w:val="single" w:color="AAAAAA" w:sz="1"/>
              <w:right w:val="single" w:color="AAAAAA" w:sz="1"/>
            </w:tcBorders>
            <w:shd w:fill="F2F2F2" w:val="clear"/>
            <w:tcMar>
              <w:top w:type="dxa" w:w="100"/>
              <w:left w:type="dxa" w:w="100"/>
              <w:bottom w:type="dxa" w:w="100"/>
              <w:right w:type="dxa" w:w="100"/>
            </w:tcMar>
          </w:tcPr>
          <w:p>
            <w:r>
              <w:rPr>
                <w:rFonts w:ascii="Arial" w:cs="Arial" w:eastAsia="Arial" w:hAnsi="Arial"/>
                <w:b w:val="false"/>
                <w:bCs w:val="false"/>
                <w:sz w:val="17"/>
                <w:szCs w:val="17"/>
              </w:rPr>
              <w:t xml:space="preserve"/>
            </w:r>
          </w:p>
        </w:tc>
        <w:tc>
          <w:tcPr>
            <w:tcBorders>
              <w:top w:val="single" w:color="AAAAAA" w:sz="1"/>
              <w:left w:val="single" w:color="AAAAAA" w:sz="1"/>
              <w:bottom w:val="single" w:color="AAAAAA" w:sz="1"/>
              <w:right w:val="single" w:color="AAAAAA" w:sz="1"/>
            </w:tcBorders>
            <w:shd w:fill="F2F2F2" w:val="clear"/>
            <w:tcMar>
              <w:top w:type="dxa" w:w="100"/>
              <w:left w:type="dxa" w:w="100"/>
              <w:bottom w:type="dxa" w:w="100"/>
              <w:right w:type="dxa" w:w="100"/>
            </w:tcMar>
          </w:tcPr>
          <w:p>
            <w:r>
              <w:rPr>
                <w:rFonts w:ascii="Arial" w:cs="Arial" w:eastAsia="Arial" w:hAnsi="Arial"/>
                <w:b w:val="false"/>
                <w:bCs w:val="false"/>
                <w:sz w:val="17"/>
                <w:szCs w:val="17"/>
              </w:rPr>
              <w:t xml:space="preserve"/>
            </w:r>
          </w:p>
        </w:tc>
        <w:tc>
          <w:tcPr>
            <w:tcBorders>
              <w:top w:val="single" w:color="AAAAAA" w:sz="1"/>
              <w:left w:val="single" w:color="AAAAAA" w:sz="1"/>
              <w:bottom w:val="single" w:color="AAAAAA" w:sz="1"/>
              <w:right w:val="single" w:color="AAAAAA" w:sz="1"/>
            </w:tcBorders>
            <w:shd w:fill="F2F2F2" w:val="clear"/>
            <w:tcMar>
              <w:top w:type="dxa" w:w="100"/>
              <w:left w:type="dxa" w:w="100"/>
              <w:bottom w:type="dxa" w:w="100"/>
              <w:right w:type="dxa" w:w="100"/>
            </w:tcMar>
          </w:tcPr>
          <w:p>
            <w:r>
              <w:rPr>
                <w:rFonts w:ascii="Arial" w:cs="Arial" w:eastAsia="Arial" w:hAnsi="Arial"/>
                <w:b w:val="false"/>
                <w:bCs w:val="false"/>
                <w:sz w:val="17"/>
                <w:szCs w:val="17"/>
              </w:rPr>
              <w:t xml:space="preserve"/>
            </w:r>
          </w:p>
        </w:tc>
      </w:tr>
      <w:tr>
        <w:tc>
          <w:tcPr>
            <w:tcBorders>
              <w:top w:val="single" w:color="AAAAAA" w:sz="1"/>
              <w:left w:val="single" w:color="AAAAAA" w:sz="1"/>
              <w:bottom w:val="single" w:color="AAAAAA" w:sz="1"/>
              <w:right w:val="single" w:color="AAAAAA" w:sz="1"/>
            </w:tcBorders>
            <w:shd w:fill="FFFFFF" w:val="clear"/>
            <w:tcMar>
              <w:top w:type="dxa" w:w="100"/>
              <w:left w:type="dxa" w:w="100"/>
              <w:bottom w:type="dxa" w:w="100"/>
              <w:right w:type="dxa" w:w="100"/>
            </w:tcMar>
          </w:tcPr>
          <w:p>
            <w:r>
              <w:rPr>
                <w:rFonts w:ascii="Arial" w:cs="Arial" w:eastAsia="Arial" w:hAnsi="Arial"/>
                <w:b/>
                <w:bCs/>
                <w:sz w:val="17"/>
                <w:szCs w:val="17"/>
              </w:rPr>
              <w:t xml:space="preserve">Reviewed By</w:t>
            </w:r>
          </w:p>
        </w:tc>
        <w:tc>
          <w:tcPr>
            <w:tcBorders>
              <w:top w:val="single" w:color="AAAAAA" w:sz="1"/>
              <w:left w:val="single" w:color="AAAAAA" w:sz="1"/>
              <w:bottom w:val="single" w:color="AAAAAA" w:sz="1"/>
              <w:right w:val="single" w:color="AAAAAA" w:sz="1"/>
            </w:tcBorders>
            <w:shd w:fill="FFFFFF" w:val="clear"/>
            <w:tcMar>
              <w:top w:type="dxa" w:w="100"/>
              <w:left w:type="dxa" w:w="100"/>
              <w:bottom w:type="dxa" w:w="100"/>
              <w:right w:type="dxa" w:w="100"/>
            </w:tcMar>
          </w:tcPr>
          <w:p>
            <w:r>
              <w:rPr>
                <w:rFonts w:ascii="Arial" w:cs="Arial" w:eastAsia="Arial" w:hAnsi="Arial"/>
                <w:b w:val="false"/>
                <w:bCs w:val="false"/>
                <w:sz w:val="17"/>
                <w:szCs w:val="17"/>
              </w:rPr>
              <w:t xml:space="preserve"/>
            </w:r>
          </w:p>
        </w:tc>
        <w:tc>
          <w:tcPr>
            <w:tcBorders>
              <w:top w:val="single" w:color="AAAAAA" w:sz="1"/>
              <w:left w:val="single" w:color="AAAAAA" w:sz="1"/>
              <w:bottom w:val="single" w:color="AAAAAA" w:sz="1"/>
              <w:right w:val="single" w:color="AAAAAA" w:sz="1"/>
            </w:tcBorders>
            <w:shd w:fill="FFFFFF" w:val="clear"/>
            <w:tcMar>
              <w:top w:type="dxa" w:w="100"/>
              <w:left w:type="dxa" w:w="100"/>
              <w:bottom w:type="dxa" w:w="100"/>
              <w:right w:type="dxa" w:w="100"/>
            </w:tcMar>
          </w:tcPr>
          <w:p>
            <w:r>
              <w:rPr>
                <w:rFonts w:ascii="Arial" w:cs="Arial" w:eastAsia="Arial" w:hAnsi="Arial"/>
                <w:b w:val="false"/>
                <w:bCs w:val="false"/>
                <w:sz w:val="17"/>
                <w:szCs w:val="17"/>
              </w:rPr>
              <w:t xml:space="preserve"/>
            </w:r>
          </w:p>
        </w:tc>
        <w:tc>
          <w:tcPr>
            <w:tcBorders>
              <w:top w:val="single" w:color="AAAAAA" w:sz="1"/>
              <w:left w:val="single" w:color="AAAAAA" w:sz="1"/>
              <w:bottom w:val="single" w:color="AAAAAA" w:sz="1"/>
              <w:right w:val="single" w:color="AAAAAA" w:sz="1"/>
            </w:tcBorders>
            <w:shd w:fill="FFFFFF" w:val="clear"/>
            <w:tcMar>
              <w:top w:type="dxa" w:w="100"/>
              <w:left w:type="dxa" w:w="100"/>
              <w:bottom w:type="dxa" w:w="100"/>
              <w:right w:type="dxa" w:w="100"/>
            </w:tcMar>
          </w:tcPr>
          <w:p>
            <w:r>
              <w:rPr>
                <w:rFonts w:ascii="Arial" w:cs="Arial" w:eastAsia="Arial" w:hAnsi="Arial"/>
                <w:b w:val="false"/>
                <w:bCs w:val="false"/>
                <w:sz w:val="17"/>
                <w:szCs w:val="17"/>
              </w:rPr>
              <w:t xml:space="preserve"/>
            </w:r>
          </w:p>
        </w:tc>
      </w:tr>
      <w:tr>
        <w:tc>
          <w:tcPr>
            <w:tcBorders>
              <w:top w:val="single" w:color="AAAAAA" w:sz="1"/>
              <w:left w:val="single" w:color="AAAAAA" w:sz="1"/>
              <w:bottom w:val="single" w:color="AAAAAA" w:sz="1"/>
              <w:right w:val="single" w:color="AAAAAA" w:sz="1"/>
            </w:tcBorders>
            <w:shd w:fill="F2F2F2" w:val="clear"/>
            <w:tcMar>
              <w:top w:type="dxa" w:w="100"/>
              <w:left w:type="dxa" w:w="100"/>
              <w:bottom w:type="dxa" w:w="100"/>
              <w:right w:type="dxa" w:w="100"/>
            </w:tcMar>
          </w:tcPr>
          <w:p>
            <w:r>
              <w:rPr>
                <w:rFonts w:ascii="Arial" w:cs="Arial" w:eastAsia="Arial" w:hAnsi="Arial"/>
                <w:b/>
                <w:bCs/>
                <w:sz w:val="17"/>
                <w:szCs w:val="17"/>
              </w:rPr>
              <w:t xml:space="preserve">Approved By</w:t>
            </w:r>
          </w:p>
        </w:tc>
        <w:tc>
          <w:tcPr>
            <w:tcBorders>
              <w:top w:val="single" w:color="AAAAAA" w:sz="1"/>
              <w:left w:val="single" w:color="AAAAAA" w:sz="1"/>
              <w:bottom w:val="single" w:color="AAAAAA" w:sz="1"/>
              <w:right w:val="single" w:color="AAAAAA" w:sz="1"/>
            </w:tcBorders>
            <w:shd w:fill="F2F2F2" w:val="clear"/>
            <w:tcMar>
              <w:top w:type="dxa" w:w="100"/>
              <w:left w:type="dxa" w:w="100"/>
              <w:bottom w:type="dxa" w:w="100"/>
              <w:right w:type="dxa" w:w="100"/>
            </w:tcMar>
          </w:tcPr>
          <w:p>
            <w:r>
              <w:rPr>
                <w:rFonts w:ascii="Arial" w:cs="Arial" w:eastAsia="Arial" w:hAnsi="Arial"/>
                <w:b w:val="false"/>
                <w:bCs w:val="false"/>
                <w:sz w:val="17"/>
                <w:szCs w:val="17"/>
              </w:rPr>
              <w:t xml:space="preserve"/>
            </w:r>
          </w:p>
        </w:tc>
        <w:tc>
          <w:tcPr>
            <w:tcBorders>
              <w:top w:val="single" w:color="AAAAAA" w:sz="1"/>
              <w:left w:val="single" w:color="AAAAAA" w:sz="1"/>
              <w:bottom w:val="single" w:color="AAAAAA" w:sz="1"/>
              <w:right w:val="single" w:color="AAAAAA" w:sz="1"/>
            </w:tcBorders>
            <w:shd w:fill="F2F2F2" w:val="clear"/>
            <w:tcMar>
              <w:top w:type="dxa" w:w="100"/>
              <w:left w:type="dxa" w:w="100"/>
              <w:bottom w:type="dxa" w:w="100"/>
              <w:right w:type="dxa" w:w="100"/>
            </w:tcMar>
          </w:tcPr>
          <w:p>
            <w:r>
              <w:rPr>
                <w:rFonts w:ascii="Arial" w:cs="Arial" w:eastAsia="Arial" w:hAnsi="Arial"/>
                <w:b w:val="false"/>
                <w:bCs w:val="false"/>
                <w:sz w:val="17"/>
                <w:szCs w:val="17"/>
              </w:rPr>
              <w:t xml:space="preserve"/>
            </w:r>
          </w:p>
        </w:tc>
        <w:tc>
          <w:tcPr>
            <w:tcBorders>
              <w:top w:val="single" w:color="AAAAAA" w:sz="1"/>
              <w:left w:val="single" w:color="AAAAAA" w:sz="1"/>
              <w:bottom w:val="single" w:color="AAAAAA" w:sz="1"/>
              <w:right w:val="single" w:color="AAAAAA" w:sz="1"/>
            </w:tcBorders>
            <w:shd w:fill="F2F2F2" w:val="clear"/>
            <w:tcMar>
              <w:top w:type="dxa" w:w="100"/>
              <w:left w:type="dxa" w:w="100"/>
              <w:bottom w:type="dxa" w:w="100"/>
              <w:right w:type="dxa" w:w="100"/>
            </w:tcMar>
          </w:tcPr>
          <w:p>
            <w:r>
              <w:rPr>
                <w:rFonts w:ascii="Arial" w:cs="Arial" w:eastAsia="Arial" w:hAnsi="Arial"/>
                <w:b w:val="false"/>
                <w:bCs w:val="false"/>
                <w:sz w:val="17"/>
                <w:szCs w:val="17"/>
              </w:rPr>
              <w:t xml:space="preserve"/>
            </w:r>
          </w:p>
        </w:tc>
      </w:tr>
    </w:tbl>
    <w:p>
      <w:pPr>
        <w:spacing w:after="120" w:before="0"/>
      </w:pPr>
    </w:p>
    <w:p>
      <w:pPr>
        <w:jc w:val="center"/>
      </w:pPr>
      <w:r>
        <w:rPr>
          <w:rFonts w:ascii="Arial" w:cs="Arial" w:eastAsia="Arial" w:hAnsi="Arial"/>
          <w:i/>
          <w:iCs/>
          <w:color w:val="666666"/>
          <w:sz w:val="16"/>
          <w:szCs w:val="16"/>
        </w:rPr>
        <w:t xml:space="preserve">This document is the property of [Organisation Name]. It shall not be reproduced, distributed, or disclosed outside the organisation without prior written authorisation.</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F9A" w:sz="4" w:space="1"/>
      </w:pBdr>
      <w:tabs>
        <w:tab w:val="center" w:pos="4819"/>
        <w:tab w:val="right" w:pos="9638"/>
      </w:tabs>
      <w:spacing w:before="80"/>
    </w:pPr>
    <w:r>
      <w:rPr>
        <w:rFonts w:ascii="Arial" w:cs="Arial" w:eastAsia="Arial" w:hAnsi="Arial"/>
        <w:color w:val="666666"/>
        <w:sz w:val="16"/>
        <w:szCs w:val="16"/>
      </w:rPr>
      <w:t xml:space="preserve">SJL-SEC-SOP-001</w:t>
    </w:r>
    <w:r>
      <w:rPr>
        <w:rFonts w:ascii="Arial" w:cs="Arial" w:eastAsia="Arial" w:hAnsi="Arial"/>
        <w:color w:val="666666"/>
        <w:sz w:val="16"/>
        <w:szCs w:val="16"/>
      </w:rPr>
      <w:t xml:space="preserve">	Cybersecurity SOP — Medical Devices &amp; Life Sciences</w:t>
    </w:r>
    <w:r>
      <w:rPr>
        <w:rFonts w:ascii="Arial" w:cs="Arial" w:eastAsia="Arial" w:hAnsi="Arial"/>
        <w:color w:val="666666"/>
        <w:sz w:val="16"/>
        <w:szCs w:val="16"/>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746"/>
      <w:gridCol w:w="2891"/>
    </w:tblGrid>
    <w:tr>
      <w:tc>
        <w:tcPr>
          <w:tcBorders>
            <w:top w:val="none" w:color="FFFFFF" w:sz="0"/>
            <w:left w:val="none" w:color="FFFFFF" w:sz="0"/>
            <w:bottom w:val="none" w:color="FFFFFF" w:sz="0"/>
            <w:right w:val="none" w:color="FFFFFF" w:sz="0"/>
          </w:tcBorders>
          <w:shd w:fill="1F3864" w:val="clear"/>
          <w:tcMar>
            <w:top w:type="dxa" w:w="60"/>
            <w:left w:type="dxa" w:w="120"/>
            <w:bottom w:type="dxa" w:w="60"/>
            <w:right w:type="dxa" w:w="120"/>
          </w:tcMar>
        </w:tcPr>
        <w:p>
          <w:r>
            <w:rPr>
              <w:rFonts w:ascii="Arial" w:cs="Arial" w:eastAsia="Arial" w:hAnsi="Arial"/>
              <w:b/>
              <w:bCs/>
              <w:color w:val="FFFFFF"/>
              <w:sz w:val="16"/>
              <w:szCs w:val="16"/>
            </w:rPr>
            <w:t xml:space="preserve">CYBERSECURITY POLICY &amp; SOP  |  LIFE SCIENCES &amp; MEDICAL DEVICES</w:t>
          </w:r>
        </w:p>
      </w:tc>
      <w:tc>
        <w:tcPr>
          <w:tcBorders>
            <w:top w:val="none" w:color="FFFFFF" w:sz="0"/>
            <w:left w:val="none" w:color="FFFFFF" w:sz="0"/>
            <w:bottom w:val="none" w:color="FFFFFF" w:sz="0"/>
            <w:right w:val="none" w:color="FFFFFF" w:sz="0"/>
          </w:tcBorders>
          <w:shd w:fill="2E5F9A" w:val="clear"/>
          <w:tcMar>
            <w:top w:type="dxa" w:w="60"/>
            <w:left w:type="dxa" w:w="120"/>
            <w:bottom w:type="dxa" w:w="60"/>
            <w:right w:type="dxa" w:w="120"/>
          </w:tcMar>
          <w:vAlign w:val="center"/>
        </w:tcPr>
        <w:p>
          <w:pPr>
            <w:jc w:val="right"/>
          </w:pPr>
          <w:r>
            <w:rPr>
              <w:rFonts w:ascii="Arial" w:cs="Arial" w:eastAsia="Arial" w:hAnsi="Arial"/>
              <w:color w:val="FFFFFF"/>
              <w:sz w:val="16"/>
              <w:szCs w:val="16"/>
            </w:rPr>
            <w:t xml:space="preserve">CONFIDENTIAL  |  v1.0  |  2026</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900" w:hanging="360"/>
      </w:pPr>
    </w:lvl>
  </w:abstractNum>
  <w:abstractNum w:abstractNumId="3" w15:restartNumberingAfterBreak="0">
    <w:multiLevelType w:val="hybridMultilevel"/>
    <w:lvl w:ilvl="0" w15:tentative="1">
      <w:start w:val="1"/>
      <w:numFmt w:val="decimal"/>
      <w:lvlText w:val="%1."/>
      <w:lvlJc w:val="left"/>
      <w:pPr>
        <w:ind w:left="540" w:hanging="360"/>
      </w:pPr>
    </w:lvl>
  </w:abstractNum>
  <w:abstractNum w:abstractNumId="4" w15:restartNumberingAfterBreak="0">
    <w:multiLevelType w:val="hybridMultilevel"/>
    <w:lvl w:ilvl="0" w15:tentative="1">
      <w:start w:val="1"/>
      <w:numFmt w:val="lowerLetter"/>
      <w:lvlText w:val="%1."/>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FFFFFF"/>
      <w:sz w:val="28"/>
      <w:szCs w:val="28"/>
    </w:rPr>
  </w:style>
  <w:style w:type="paragraph" w:styleId="Heading2">
    <w:name w:val="Heading 2"/>
    <w:basedOn w:val="Normal"/>
    <w:next w:val="Normal"/>
    <w:qFormat/>
    <w:pPr>
      <w:spacing w:after="100" w:before="200"/>
      <w:outlineLvl w:val="1"/>
    </w:pPr>
    <w:rPr>
      <w:rFonts w:ascii="Arial" w:cs="Arial" w:eastAsia="Arial" w:hAnsi="Arial"/>
      <w:b/>
      <w:bCs/>
      <w:color w:val="FFFFFF"/>
      <w:sz w:val="26"/>
      <w:szCs w:val="26"/>
    </w:rPr>
  </w:style>
  <w:style w:type="paragraph" w:styleId="Heading3">
    <w:name w:val="Heading 3"/>
    <w:basedOn w:val="Normal"/>
    <w:next w:val="Normal"/>
    <w:qFormat/>
    <w:pPr>
      <w:spacing w:after="80" w:before="160"/>
      <w:outlineLvl w:val="2"/>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2026-05-13T09:57:53.151Z</dcterms:created>
  <dcterms:modified xsi:type="dcterms:W3CDTF">2026-05-13T09:57:53.151Z</dcterms:modified>
</cp:coreProperties>
</file>

<file path=docProps/custom.xml><?xml version="1.0" encoding="utf-8"?>
<Properties xmlns="http://schemas.openxmlformats.org/officeDocument/2006/custom-properties" xmlns:vt="http://schemas.openxmlformats.org/officeDocument/2006/docPropsVTypes"/>
</file>