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none" w:color="FFFFFF" w:sz="0"/>
              <w:bottom w:val="none" w:color="FFFFFF" w:sz="0"/>
              <w:right w:val="none" w:color="FFFFFF" w:sz="0"/>
            </w:tcBorders>
            <w:shd w:fill="1A5C5C" w:val="clear"/>
            <w:tcMar>
              <w:top w:type="dxa" w:w="500"/>
              <w:left w:type="dxa" w:w="400"/>
              <w:bottom w:type="dxa" w:w="500"/>
              <w:right w:type="dxa" w:w="400"/>
            </w:tcMar>
          </w:tcPr>
          <w:p>
            <w:pPr>
              <w:spacing w:after="80"/>
              <w:jc w:val="center"/>
            </w:pPr>
            <w:r>
              <w:rPr>
                <w:rFonts w:ascii="Arial" w:cs="Arial" w:eastAsia="Arial" w:hAnsi="Arial"/>
                <w:b/>
                <w:bCs/>
                <w:color w:val="FFFFFF"/>
                <w:sz w:val="48"/>
                <w:szCs w:val="48"/>
              </w:rPr>
              <w:t xml:space="preserve">AIEMD DEVELOPMENT &amp; LIFECYCLE SOP</w:t>
            </w:r>
          </w:p>
          <w:p>
            <w:pPr>
              <w:spacing w:after="200"/>
              <w:jc w:val="center"/>
            </w:pPr>
            <w:r>
              <w:rPr>
                <w:rFonts w:ascii="Arial" w:cs="Arial" w:eastAsia="Arial" w:hAnsi="Arial"/>
                <w:b/>
                <w:bCs/>
                <w:color w:val="D6EEEE"/>
                <w:sz w:val="28"/>
                <w:szCs w:val="28"/>
              </w:rPr>
              <w:t xml:space="preserve">AI-Enabled Medical Device  •  SaMD  •  SiMD</w:t>
            </w:r>
          </w:p>
          <w:p>
            <w:pPr>
              <w:pBdr>
                <w:bottom w:val="single" w:color="2E8B8B" w:sz="4" w:space="1"/>
              </w:pBdr>
              <w:spacing w:after="200"/>
            </w:pPr>
          </w:p>
          <w:p>
            <w:pPr>
              <w:spacing w:after="60"/>
              <w:jc w:val="center"/>
            </w:pPr>
            <w:r>
              <w:rPr>
                <w:rFonts w:ascii="Arial" w:cs="Arial" w:eastAsia="Arial" w:hAnsi="Arial"/>
                <w:color w:val="D6EEEE"/>
                <w:sz w:val="22"/>
                <w:szCs w:val="22"/>
              </w:rPr>
              <w:t xml:space="preserve">Document Reference: SJL-SOP-AI-001</w:t>
            </w:r>
          </w:p>
          <w:p>
            <w:pPr>
              <w:jc w:val="center"/>
            </w:pPr>
            <w:r>
              <w:rPr>
                <w:rFonts w:ascii="Arial" w:cs="Arial" w:eastAsia="Arial" w:hAnsi="Arial"/>
                <w:color w:val="D6EEEE"/>
                <w:sz w:val="22"/>
                <w:szCs w:val="22"/>
              </w:rPr>
              <w:t xml:space="preserve">Version: 1.0  |  Issue Date: May 2026  |  Classification: Confidential</w:t>
            </w:r>
          </w:p>
        </w:tc>
      </w:tr>
    </w:tbl>
    <w:p>
      <w:pPr>
        <w:spacing w:after="20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single" w:color="AAAAAA" w:sz="1"/>
              <w:left w:val="single" w:color="AAAAAA" w:sz="1"/>
              <w:bottom w:val="single" w:color="AAAAAA" w:sz="1"/>
              <w:right w:val="single" w:color="AAAAAA" w:sz="1"/>
            </w:tcBorders>
            <w:shd w:fill="D6EEEE" w:val="clear"/>
            <w:tcMar>
              <w:top w:type="dxa" w:w="120"/>
              <w:left w:type="dxa" w:w="200"/>
              <w:bottom w:type="dxa" w:w="120"/>
              <w:right w:type="dxa" w:w="200"/>
            </w:tcMar>
          </w:tcPr>
          <w:p>
            <w:pPr>
              <w:spacing w:after="80"/>
              <w:jc w:val="center"/>
            </w:pPr>
            <w:r>
              <w:rPr>
                <w:rFonts w:ascii="Arial" w:cs="Arial" w:eastAsia="Arial" w:hAnsi="Arial"/>
                <w:b/>
                <w:bCs/>
                <w:color w:val="1A5C5C"/>
                <w:sz w:val="20"/>
                <w:szCs w:val="20"/>
              </w:rPr>
              <w:t xml:space="preserve">Normative Framework</w:t>
            </w:r>
          </w:p>
          <w:p>
            <w:pPr>
              <w:jc w:val="center"/>
            </w:pPr>
            <w:r>
              <w:rPr>
                <w:rFonts w:ascii="Arial" w:cs="Arial" w:eastAsia="Arial" w:hAnsi="Arial"/>
                <w:color w:val="222222"/>
                <w:sz w:val="17"/>
                <w:szCs w:val="17"/>
              </w:rPr>
              <w:t xml:space="preserve">EU AI Act 2024/1689  •  MDCG 2025-6 / AIB 2025-1  •  IEC 62304 Ed.2 AI Annex  •  ISO 14971:2019+Amd.2024  •  IEC 81001-5-1:2021  •  ISO/IEC 42001:2023  •  FDA AI Guidance (Jan 2025 Draft)  •  FDA PCCP Guidance (Dec 2024)  •  IMDRF SaMD Guidance</w:t>
            </w:r>
          </w:p>
        </w:tc>
      </w:tr>
    </w:tbl>
    <w:p>
      <w:pPr>
        <w:spacing w:after="30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09"/>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Field</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Detail</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Field</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Detail</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Document ID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SJL-SOP-AI-001</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Version</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1.0</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Issue Date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May 2026</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Review Date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May 2027</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Owner</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Head of Quality &amp; Regulatory / AI Lead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Approved By</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[Name / Title]</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Classification</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Confidential</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Status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Active</w:t>
            </w:r>
          </w:p>
        </w:tc>
      </w:tr>
    </w:tbl>
    <w:p>
      <w:r>
        <w:br w:type="page"/>
      </w:r>
    </w:p>
    <w:p>
      <w:pPr>
        <w:pStyle w:val="Heading1"/>
        <w:shd w:fill="1A5C5C" w:val="clear"/>
        <w:spacing w:after="100" w:before="200"/>
        <w:ind w:left="120"/>
      </w:pPr>
      <w:r>
        <w:rPr>
          <w:rFonts w:ascii="Arial" w:cs="Arial" w:eastAsia="Arial" w:hAnsi="Arial"/>
          <w:b/>
          <w:bCs/>
          <w:color w:val="FFFFFF"/>
          <w:sz w:val="28"/>
          <w:szCs w:val="28"/>
        </w:rPr>
        <w:t xml:space="preserve">1.  PURPOSE AND SCOPE</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1.1  Purpose</w:t>
      </w:r>
    </w:p>
    <w:p>
      <w:pPr>
        <w:spacing w:after="80" w:before="40"/>
      </w:pPr>
      <w:r>
        <w:rPr>
          <w:rFonts w:ascii="Arial" w:cs="Arial" w:eastAsia="Arial" w:hAnsi="Arial"/>
          <w:sz w:val="20"/>
          <w:szCs w:val="20"/>
        </w:rPr>
        <w:t xml:space="preserve">This SOP defines the development, validation, deployment, and post-market lifecycle requirements for AI-enabled Medical Devices (AIeMD) at [Organisation Name]. It supplements SJL-SOP-SW-001 (Software Development Lifecycle SOP) with the specific additional requirements arising from the incorporation of artificial intelligence (AI), machine learning (ML), and deep learning (DL) components in medical devices.</w:t>
      </w:r>
    </w:p>
    <w:p>
      <w:pPr>
        <w:spacing w:after="80" w:before="40"/>
      </w:pPr>
      <w:r>
        <w:rPr>
          <w:rFonts w:ascii="Arial" w:cs="Arial" w:eastAsia="Arial" w:hAnsi="Arial"/>
          <w:sz w:val="20"/>
          <w:szCs w:val="20"/>
        </w:rPr>
        <w:t xml:space="preserve">This SOP addresses the characteristics of AI/ML that distinguish it from conventional deterministic software: adaptive behaviour, data dependency, performance drift over time, algorithmic opacity, and novel cybersecurity attack vectors. It establishes a Total Product Lifecycle (TPLC) approach to AI governance, aligned with the convergent requirements of the EU AI Act, EU MDR, and FDA guidance frameworks.</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1.2  Scope</w:t>
      </w:r>
    </w:p>
    <w:p>
      <w:pPr>
        <w:spacing w:after="80" w:before="40"/>
      </w:pPr>
      <w:r>
        <w:rPr>
          <w:rFonts w:ascii="Arial" w:cs="Arial" w:eastAsia="Arial" w:hAnsi="Arial"/>
          <w:sz w:val="20"/>
          <w:szCs w:val="20"/>
        </w:rPr>
        <w:t xml:space="preserve">This SOP applies to:</w:t>
      </w:r>
    </w:p>
    <w:p>
      <w:pPr>
        <w:pStyle w:val="ListParagraph"/>
        <w:numPr>
          <w:ilvl w:val="0"/>
          <w:numId w:val="2"/>
        </w:numPr>
        <w:spacing w:after="40" w:before="20"/>
        <w:ind w:left="540" w:hanging="360"/>
      </w:pPr>
      <w:r>
        <w:rPr>
          <w:rFonts w:ascii="Arial" w:cs="Arial" w:eastAsia="Arial" w:hAnsi="Arial"/>
          <w:sz w:val="20"/>
          <w:szCs w:val="20"/>
        </w:rPr>
        <w:t xml:space="preserve">All medical device software incorporating AI, ML, or deep learning algorithms with a clinical decision-making, diagnostic, therapeutic, monitoring, or triage function</w:t>
      </w:r>
    </w:p>
    <w:p>
      <w:pPr>
        <w:pStyle w:val="ListParagraph"/>
        <w:numPr>
          <w:ilvl w:val="0"/>
          <w:numId w:val="2"/>
        </w:numPr>
        <w:spacing w:after="40" w:before="20"/>
        <w:ind w:left="540" w:hanging="360"/>
      </w:pPr>
      <w:r>
        <w:rPr>
          <w:rFonts w:ascii="Arial" w:cs="Arial" w:eastAsia="Arial" w:hAnsi="Arial"/>
          <w:sz w:val="20"/>
          <w:szCs w:val="20"/>
        </w:rPr>
        <w:t xml:space="preserve">Software as a Medical Device (SaMD) and Software in a Medical Device (SiMD) where AI components influence device behaviour in ways that affect patient safety or clinical outcome</w:t>
      </w:r>
    </w:p>
    <w:p>
      <w:pPr>
        <w:pStyle w:val="ListParagraph"/>
        <w:numPr>
          <w:ilvl w:val="0"/>
          <w:numId w:val="2"/>
        </w:numPr>
        <w:spacing w:after="40" w:before="20"/>
        <w:ind w:left="540" w:hanging="360"/>
      </w:pPr>
      <w:r>
        <w:rPr>
          <w:rFonts w:ascii="Arial" w:cs="Arial" w:eastAsia="Arial" w:hAnsi="Arial"/>
          <w:sz w:val="20"/>
          <w:szCs w:val="20"/>
        </w:rPr>
        <w:t xml:space="preserve">Foundation models, pre-trained models, and fine-tuned models incorporated into medical device software, whether developed internally or sourced from third parties including open-source model repositories</w:t>
      </w:r>
    </w:p>
    <w:p>
      <w:pPr>
        <w:pStyle w:val="ListParagraph"/>
        <w:numPr>
          <w:ilvl w:val="0"/>
          <w:numId w:val="2"/>
        </w:numPr>
        <w:spacing w:after="40" w:before="20"/>
        <w:ind w:left="540" w:hanging="360"/>
      </w:pPr>
      <w:r>
        <w:rPr>
          <w:rFonts w:ascii="Arial" w:cs="Arial" w:eastAsia="Arial" w:hAnsi="Arial"/>
          <w:sz w:val="20"/>
          <w:szCs w:val="20"/>
        </w:rPr>
        <w:t xml:space="preserve">Agentic AI systems integrated into medical device workflows, including AI components that autonomously call external APIs, retrieve data from clinical systems, or take multi-step actions</w:t>
      </w:r>
    </w:p>
    <w:p>
      <w:pPr>
        <w:pStyle w:val="ListParagraph"/>
        <w:numPr>
          <w:ilvl w:val="0"/>
          <w:numId w:val="2"/>
        </w:numPr>
        <w:spacing w:after="40" w:before="20"/>
        <w:ind w:left="540" w:hanging="360"/>
      </w:pPr>
      <w:r>
        <w:rPr>
          <w:rFonts w:ascii="Arial" w:cs="Arial" w:eastAsia="Arial" w:hAnsi="Arial"/>
          <w:sz w:val="20"/>
          <w:szCs w:val="20"/>
        </w:rPr>
        <w:t xml:space="preserve">Change management activities for AI components already on the market, including changes governed by a Predetermined Change Control Plan (PCCP)</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1.3  Relationship to Other SOPs</w:t>
      </w:r>
    </w:p>
    <w:p>
      <w:pPr>
        <w:spacing w:after="80" w:before="40"/>
      </w:pPr>
      <w:r>
        <w:rPr>
          <w:rFonts w:ascii="Arial" w:cs="Arial" w:eastAsia="Arial" w:hAnsi="Arial"/>
          <w:sz w:val="20"/>
          <w:szCs w:val="20"/>
        </w:rPr>
        <w:t xml:space="preserve">This SOP supplements and must be read alongside:</w:t>
      </w:r>
    </w:p>
    <w:p>
      <w:pPr>
        <w:pStyle w:val="ListParagraph"/>
        <w:numPr>
          <w:ilvl w:val="0"/>
          <w:numId w:val="2"/>
        </w:numPr>
        <w:spacing w:after="40" w:before="20"/>
        <w:ind w:left="540" w:hanging="360"/>
      </w:pPr>
      <w:r>
        <w:rPr>
          <w:rFonts w:ascii="Arial" w:cs="Arial" w:eastAsia="Arial" w:hAnsi="Arial"/>
          <w:sz w:val="20"/>
          <w:szCs w:val="20"/>
        </w:rPr>
        <w:t xml:space="preserve">SJL-SOP-SW-001: Software Development Lifecycle SOP — governs the overall IEC 62304 SDLC within which AI activities are embedded</w:t>
      </w:r>
    </w:p>
    <w:p>
      <w:pPr>
        <w:pStyle w:val="ListParagraph"/>
        <w:numPr>
          <w:ilvl w:val="0"/>
          <w:numId w:val="2"/>
        </w:numPr>
        <w:spacing w:after="40" w:before="20"/>
        <w:ind w:left="540" w:hanging="360"/>
      </w:pPr>
      <w:r>
        <w:rPr>
          <w:rFonts w:ascii="Arial" w:cs="Arial" w:eastAsia="Arial" w:hAnsi="Arial"/>
          <w:sz w:val="20"/>
          <w:szCs w:val="20"/>
        </w:rPr>
        <w:t xml:space="preserve">SJL-SOP-RM-001: Risk Management SOP — governs ISO 14971 integration including AI-specific hazards</w:t>
      </w:r>
    </w:p>
    <w:p>
      <w:pPr>
        <w:pStyle w:val="ListParagraph"/>
        <w:numPr>
          <w:ilvl w:val="0"/>
          <w:numId w:val="2"/>
        </w:numPr>
        <w:spacing w:after="40" w:before="20"/>
        <w:ind w:left="540" w:hanging="360"/>
      </w:pPr>
      <w:r>
        <w:rPr>
          <w:rFonts w:ascii="Arial" w:cs="Arial" w:eastAsia="Arial" w:hAnsi="Arial"/>
          <w:sz w:val="20"/>
          <w:szCs w:val="20"/>
        </w:rPr>
        <w:t xml:space="preserve">SJL-SOP-SEC-001: Cybersecurity SOP — governs IEC 81001-5-1 security activities including AI-specific threat modelling</w:t>
      </w:r>
    </w:p>
    <w:p>
      <w:pPr>
        <w:pStyle w:val="ListParagraph"/>
        <w:numPr>
          <w:ilvl w:val="0"/>
          <w:numId w:val="2"/>
        </w:numPr>
        <w:spacing w:after="40" w:before="20"/>
        <w:ind w:left="540" w:hanging="360"/>
      </w:pPr>
      <w:r>
        <w:rPr>
          <w:rFonts w:ascii="Arial" w:cs="Arial" w:eastAsia="Arial" w:hAnsi="Arial"/>
          <w:sz w:val="20"/>
          <w:szCs w:val="20"/>
        </w:rPr>
        <w:t xml:space="preserve">SJL-SOP-PMS-001: Post-Market Surveillance SOP — governs AI performance monitoring and drift detection post-deployment</w:t>
      </w:r>
    </w:p>
    <w:p>
      <w:pPr>
        <w:spacing w:after="80" w:before="0"/>
      </w:pPr>
    </w:p>
    <w:p>
      <w:pPr>
        <w:shd w:fill="FFF3CD" w:val="clear"/>
        <w:spacing w:after="80" w:before="40"/>
        <w:ind w:left="360"/>
      </w:pPr>
      <w:r>
        <w:rPr>
          <w:rFonts w:ascii="Arial" w:cs="Arial" w:eastAsia="Arial" w:hAnsi="Arial"/>
          <w:b/>
          <w:bCs/>
          <w:color w:val="7B4E00"/>
          <w:sz w:val="18"/>
          <w:szCs w:val="18"/>
        </w:rPr>
        <w:t xml:space="preserve">REGULATORY ALERT: </w:t>
      </w:r>
      <w:r>
        <w:rPr>
          <w:rFonts w:ascii="Arial" w:cs="Arial" w:eastAsia="Arial" w:hAnsi="Arial"/>
          <w:color w:val="7B4E00"/>
          <w:sz w:val="18"/>
          <w:szCs w:val="18"/>
        </w:rPr>
        <w:t xml:space="preserve">EU AI Act Article 6 and Annex III obligations for high-risk AI systems in medical devices apply from August 2, 2026. Organisations with AI-enabled Class IIa+ devices must have AI Act compliance integrated into Technical Documentation by this date. Full enforcement applies from August 2027.</w:t>
      </w:r>
    </w:p>
    <w:p>
      <w:r>
        <w:br w:type="page"/>
      </w:r>
    </w:p>
    <w:p>
      <w:pPr>
        <w:pStyle w:val="Heading1"/>
        <w:shd w:fill="1A5C5C" w:val="clear"/>
        <w:spacing w:after="100" w:before="200"/>
        <w:ind w:left="120"/>
      </w:pPr>
      <w:r>
        <w:rPr>
          <w:rFonts w:ascii="Arial" w:cs="Arial" w:eastAsia="Arial" w:hAnsi="Arial"/>
          <w:b/>
          <w:bCs/>
          <w:color w:val="FFFFFF"/>
          <w:sz w:val="28"/>
          <w:szCs w:val="28"/>
        </w:rPr>
        <w:t xml:space="preserve">2.  REGULATORY AND STANDARDS FRAMEWORK</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2.1  EU Dual Compliance — MDR and AI Act</w:t>
      </w:r>
    </w:p>
    <w:p>
      <w:pPr>
        <w:spacing w:after="80" w:before="40"/>
      </w:pPr>
      <w:r>
        <w:rPr>
          <w:rFonts w:ascii="Arial" w:cs="Arial" w:eastAsia="Arial" w:hAnsi="Arial"/>
          <w:sz w:val="20"/>
          <w:szCs w:val="20"/>
        </w:rPr>
        <w:t xml:space="preserve">From August 2026, manufacturers of AI-enabled medical devices face concurrent obligations under two EU regulatory regimes. MDCG 2025-6 / AIB 2025-1 clarifies how these interact:</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120"/>
        <w:gridCol w:w="3855"/>
        <w:gridCol w:w="3662"/>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Regulatory Instrument</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Scope and Trigger</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Key AI-Specific Obligations</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EU MDR 2017/745</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Applies to all medical devices including software. Rule 11 classifies AI-driven SaMD. Annex I GSPRs apply to all AI components.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Cybersecurity, safety, performance, risk management throughout lifecycle; post-market surveillance; vigilance reporting</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EU AI Act 2024/1689 — High-Risk</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Applies to AI systems that are a safety component of, or are themselves, medical devices classified IIa or above under MDR</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Quality management system (Art. 9 ≈ ISO 13485); data governance (Art. 10); transparency and documentation (Art. 13); human oversight (Art. 14); accuracy, robustness, cybersecurity (Art. 15); conformity assessment via MDR NB (Art. 43(3)); post-market monitoring (Art. 72); incident reporting (Art. 73)</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MDCG 2025-6 / AIB 2025-1</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Joint FAQ guidance published June 2025 clarifying MDR / AI Act interplay</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AIA obligations can in many cases be demonstrated within MDR/IVDR conformity assessment; unified Technical Documentation covering both frameworks recommended; gap assessment required</w:t>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2.2  US FDA Framework</w:t>
      </w:r>
    </w:p>
    <w:p>
      <w:pPr>
        <w:spacing w:after="80" w:before="40"/>
      </w:pPr>
      <w:r>
        <w:rPr>
          <w:rFonts w:ascii="Arial" w:cs="Arial" w:eastAsia="Arial" w:hAnsi="Arial"/>
          <w:sz w:val="20"/>
          <w:szCs w:val="20"/>
        </w:rPr>
        <w:t xml:space="preserve">In the US market, AI-enabled medical devices are regulated as Software as a Medical Device under the FDA's digital health framework. Key reference documents:</w:t>
      </w:r>
    </w:p>
    <w:p>
      <w:pPr>
        <w:pStyle w:val="ListParagraph"/>
        <w:numPr>
          <w:ilvl w:val="0"/>
          <w:numId w:val="2"/>
        </w:numPr>
        <w:spacing w:after="40" w:before="20"/>
        <w:ind w:left="540" w:hanging="360"/>
      </w:pPr>
      <w:r>
        <w:rPr>
          <w:rFonts w:ascii="Arial" w:cs="Arial" w:eastAsia="Arial" w:hAnsi="Arial"/>
          <w:sz w:val="20"/>
          <w:szCs w:val="20"/>
        </w:rPr>
        <w:t xml:space="preserve">FDA Draft Guidance: Artificial Intelligence-Enabled Device Software Functions: Lifecycle Management and Marketing Submission Recommendations (January 2025) — Total Product Lifecycle framework, submission requirements, PCCP integration</w:t>
      </w:r>
    </w:p>
    <w:p>
      <w:pPr>
        <w:pStyle w:val="ListParagraph"/>
        <w:numPr>
          <w:ilvl w:val="0"/>
          <w:numId w:val="2"/>
        </w:numPr>
        <w:spacing w:after="40" w:before="20"/>
        <w:ind w:left="540" w:hanging="360"/>
      </w:pPr>
      <w:r>
        <w:rPr>
          <w:rFonts w:ascii="Arial" w:cs="Arial" w:eastAsia="Arial" w:hAnsi="Arial"/>
          <w:sz w:val="20"/>
          <w:szCs w:val="20"/>
        </w:rPr>
        <w:t xml:space="preserve">FDA Final Guidance: Predetermined Change Control Plans for Machine Learning-Enabled Medical Devices (December 2024) — pre-approved algorithm update framework</w:t>
      </w:r>
    </w:p>
    <w:p>
      <w:pPr>
        <w:pStyle w:val="ListParagraph"/>
        <w:numPr>
          <w:ilvl w:val="0"/>
          <w:numId w:val="2"/>
        </w:numPr>
        <w:spacing w:after="40" w:before="20"/>
        <w:ind w:left="540" w:hanging="360"/>
      </w:pPr>
      <w:r>
        <w:rPr>
          <w:rFonts w:ascii="Arial" w:cs="Arial" w:eastAsia="Arial" w:hAnsi="Arial"/>
          <w:sz w:val="20"/>
          <w:szCs w:val="20"/>
        </w:rPr>
        <w:t xml:space="preserve">FDA Cybersecurity Guidance: Cybersecurity in Medical Devices (June 2025 Final) — SPDF, SBOM, threat model, AI cybersecurity requirements</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2.3  Standards Framework</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98"/>
        <w:gridCol w:w="3855"/>
        <w:gridCol w:w="3084"/>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Standard</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Relevance to AIeMD</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Section Reference</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IEC 62304:2006+A1:2015 (Ed.2 AI Annex)</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Software lifecycle — AI planning Annex in Edition 2 introduces AI process planning requirement at both rigor levels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SJL-SOP-SW-001; this SOP § 4</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ISO 14971:2019+Amd.2024</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Risk management — AI-specific hazards (data poisoning, model drift, opacity, adversarial inputs) integrated into benefit-risk framework</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This SOP § 7; SJL-SOP-RM-001</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IEC 81001-5-1:2021</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Cybersecurity lifecycle — AI threat extensions (STRIDE-AI, data poisoning, adversarial inference, supply chain AI risk)</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SJL-SOP-SEC-001 § 5.3, 6.3</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ISO/IEC 42001:2023</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AI management system — provides organisational governance framework for responsible AI development</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This SOP § 3</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IMDRF SaMD Guidance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SaMD risk framework — informs AI SaMD classification and clinical evaluation expectations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This SOP § 2.3</w:t>
            </w:r>
          </w:p>
        </w:tc>
      </w:tr>
    </w:tbl>
    <w:p>
      <w:r>
        <w:br w:type="page"/>
      </w:r>
    </w:p>
    <w:p>
      <w:pPr>
        <w:pStyle w:val="Heading1"/>
        <w:shd w:fill="1A5C5C" w:val="clear"/>
        <w:spacing w:after="100" w:before="200"/>
        <w:ind w:left="120"/>
      </w:pPr>
      <w:r>
        <w:rPr>
          <w:rFonts w:ascii="Arial" w:cs="Arial" w:eastAsia="Arial" w:hAnsi="Arial"/>
          <w:b/>
          <w:bCs/>
          <w:color w:val="FFFFFF"/>
          <w:sz w:val="28"/>
          <w:szCs w:val="28"/>
        </w:rPr>
        <w:t xml:space="preserve">3.  AI GOVERNANCE AND CLASSIFICATION</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3.1  AI System Classification — EU AI Act</w:t>
      </w:r>
    </w:p>
    <w:p>
      <w:pPr>
        <w:spacing w:after="80" w:before="40"/>
      </w:pPr>
      <w:r>
        <w:rPr>
          <w:rFonts w:ascii="Arial" w:cs="Arial" w:eastAsia="Arial" w:hAnsi="Arial"/>
          <w:sz w:val="20"/>
          <w:szCs w:val="20"/>
        </w:rPr>
        <w:t xml:space="preserve">Before commencing development of any AI component intended for incorporation into a medical device, the following classification determination shall be documented in the AI System Classification Record:</w:t>
      </w:r>
    </w:p>
    <w:p>
      <w:pPr>
        <w:pStyle w:val="ListParagraph"/>
        <w:numPr>
          <w:ilvl w:val="0"/>
          <w:numId w:val="3"/>
        </w:numPr>
        <w:spacing w:after="40" w:before="20"/>
        <w:ind w:left="540" w:hanging="360"/>
      </w:pPr>
      <w:r>
        <w:rPr>
          <w:rFonts w:ascii="Arial" w:cs="Arial" w:eastAsia="Arial" w:hAnsi="Arial"/>
          <w:sz w:val="20"/>
          <w:szCs w:val="20"/>
        </w:rPr>
        <w:t xml:space="preserve">Confirm whether the software qualifies as an AI system under EU AI Act Article 3(1). AI systems use machine learning, logic-based approaches, or statistical methods to generate outputs that influence the environment.</w:t>
      </w:r>
    </w:p>
    <w:p>
      <w:pPr>
        <w:pStyle w:val="ListParagraph"/>
        <w:numPr>
          <w:ilvl w:val="0"/>
          <w:numId w:val="3"/>
        </w:numPr>
        <w:spacing w:after="40" w:before="20"/>
        <w:ind w:left="540" w:hanging="360"/>
      </w:pPr>
      <w:r>
        <w:rPr>
          <w:rFonts w:ascii="Arial" w:cs="Arial" w:eastAsia="Arial" w:hAnsi="Arial"/>
          <w:sz w:val="20"/>
          <w:szCs w:val="20"/>
        </w:rPr>
        <w:t xml:space="preserve">Screen for prohibited AI practices under Article 5 (e.g. manipulative subliminal techniques, social scoring). If applicable: development shall not proceed.</w:t>
      </w:r>
    </w:p>
    <w:p>
      <w:pPr>
        <w:pStyle w:val="ListParagraph"/>
        <w:numPr>
          <w:ilvl w:val="0"/>
          <w:numId w:val="3"/>
        </w:numPr>
        <w:spacing w:after="40" w:before="20"/>
        <w:ind w:left="540" w:hanging="360"/>
      </w:pPr>
      <w:r>
        <w:rPr>
          <w:rFonts w:ascii="Arial" w:cs="Arial" w:eastAsia="Arial" w:hAnsi="Arial"/>
          <w:sz w:val="20"/>
          <w:szCs w:val="20"/>
        </w:rPr>
        <w:t xml:space="preserve">Determine whether the AI system is high-risk under Article 6 and Annex III. Medical devices: AI systems that are embedded in or constitute a product regulated under MDR/IVDR where the device is Class IIa or above are high-risk AI systems.</w:t>
      </w:r>
    </w:p>
    <w:p>
      <w:pPr>
        <w:pStyle w:val="ListParagraph"/>
        <w:numPr>
          <w:ilvl w:val="0"/>
          <w:numId w:val="3"/>
        </w:numPr>
        <w:spacing w:after="40" w:before="20"/>
        <w:ind w:left="540" w:hanging="360"/>
      </w:pPr>
      <w:r>
        <w:rPr>
          <w:rFonts w:ascii="Arial" w:cs="Arial" w:eastAsia="Arial" w:hAnsi="Arial"/>
          <w:sz w:val="20"/>
          <w:szCs w:val="20"/>
        </w:rPr>
        <w:t xml:space="preserve">For high-risk AI systems: confirm the device is subject to third-party conformity assessment under MDR. This satisfies the AI Act conformity assessment requirement per Article 43(3). Document the mapped conformity pathway.</w:t>
      </w:r>
    </w:p>
    <w:p>
      <w:pPr>
        <w:pStyle w:val="ListParagraph"/>
        <w:numPr>
          <w:ilvl w:val="0"/>
          <w:numId w:val="3"/>
        </w:numPr>
        <w:spacing w:after="40" w:before="20"/>
        <w:ind w:left="540" w:hanging="360"/>
      </w:pPr>
      <w:r>
        <w:rPr>
          <w:rFonts w:ascii="Arial" w:cs="Arial" w:eastAsia="Arial" w:hAnsi="Arial"/>
          <w:sz w:val="20"/>
          <w:szCs w:val="20"/>
        </w:rPr>
        <w:t xml:space="preserve">Identify any General Purpose AI (GPAI) model incorporated in the system. GPAI models with systemic risk trigger additional obligations under AI Act Chapter V.</w:t>
      </w:r>
    </w:p>
    <w:p>
      <w:pPr>
        <w:pStyle w:val="ListParagraph"/>
        <w:numPr>
          <w:ilvl w:val="0"/>
          <w:numId w:val="3"/>
        </w:numPr>
        <w:spacing w:after="40" w:before="20"/>
        <w:ind w:left="540" w:hanging="360"/>
      </w:pPr>
      <w:r>
        <w:rPr>
          <w:rFonts w:ascii="Arial" w:cs="Arial" w:eastAsia="Arial" w:hAnsi="Arial"/>
          <w:sz w:val="20"/>
          <w:szCs w:val="20"/>
        </w:rPr>
        <w:t xml:space="preserve">Record the classification outcome, rationale, and approver in the AI System Classification Record. Review at each significant design change.</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120"/>
        <w:gridCol w:w="1927"/>
        <w:gridCol w:w="2891"/>
        <w:gridCol w:w="2698"/>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MDR Device Class</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AI Act Risk Level</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Conformity Assessment Route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Key Additional AI Act Obligations</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Class I (Rule 11 exempt or minimal risk)</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General / limited risk</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Self-declaration where applicable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Transparency (Art. 13), basic accuracy and cybersecurity</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Class IIa</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High-risk (Annex III)</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MDR NB assessment satisfies AI Act Art. 43(3) — no separate AI Act CA required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Full Annex I quality system; data governance (Art. 10); transparency (Art. 13); human oversight (Art. 14); accuracy, robustness, cybersecurity (Art. 15); post-market monitoring (Art. 72)</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Class IIb</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High-risk (Annex III)</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MDR NB assessment satisfies AI Act Art. 43(3)</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As IIa, plus enhanced PMSR requirements</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Class III</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High-risk (Annex III)</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MDR NB assessment satisfies AI Act Art. 43(3)</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As IIb, plus annual PMSR; enhanced clinical evidence; EU database registration (EUDAMED)</w:t>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3.2  IEC 62304 Classification for AI Components</w:t>
      </w:r>
    </w:p>
    <w:p>
      <w:pPr>
        <w:spacing w:after="80" w:before="40"/>
      </w:pPr>
      <w:r>
        <w:rPr>
          <w:rFonts w:ascii="Arial" w:cs="Arial" w:eastAsia="Arial" w:hAnsi="Arial"/>
          <w:sz w:val="20"/>
          <w:szCs w:val="20"/>
        </w:rPr>
        <w:t xml:space="preserve">All AI/ML software items shall be classified under IEC 62304 in the same manner as other software. A trained model that influences a clinical decision, drives a therapeutic intervention, or implements a risk control measure shall be assigned Class C (current edition) or Rigor Level II (Edition 2). The opacity of AI/ML reasoning does not reduce the safety classification. Document classification in the SDP per SJL-SOP-SW-001 § 2.</w:t>
      </w:r>
    </w:p>
    <w:p>
      <w:pPr>
        <w:spacing w:after="80" w:before="0"/>
      </w:pPr>
    </w:p>
    <w:p>
      <w:pPr>
        <w:shd w:fill="FFF0F0" w:val="clear"/>
        <w:spacing w:after="80" w:before="40"/>
        <w:ind w:left="360"/>
      </w:pPr>
      <w:r>
        <w:rPr>
          <w:rFonts w:ascii="Arial" w:cs="Arial" w:eastAsia="Arial" w:hAnsi="Arial"/>
          <w:b/>
          <w:bCs/>
          <w:color w:val="C00000"/>
          <w:sz w:val="18"/>
          <w:szCs w:val="18"/>
        </w:rPr>
        <w:t xml:space="preserve">IMPORTANT: </w:t>
      </w:r>
      <w:r>
        <w:rPr>
          <w:rFonts w:ascii="Arial" w:cs="Arial" w:eastAsia="Arial" w:hAnsi="Arial"/>
          <w:color w:val="333333"/>
          <w:sz w:val="18"/>
          <w:szCs w:val="18"/>
        </w:rPr>
        <w:t xml:space="preserve">AI/ML components shall not be assigned Class A / Level I unless the ISO 14971 hazard analysis confirms with documented evidence that failure of the AI component cannot contribute to patient harm under any foreseeable failure mode. Where doubt exists, default to Class C / Level II.</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3.3  AI Management System (ISO/IEC 42001 Alignment)</w:t>
      </w:r>
    </w:p>
    <w:p>
      <w:pPr>
        <w:spacing w:after="80" w:before="40"/>
      </w:pPr>
      <w:r>
        <w:rPr>
          <w:rFonts w:ascii="Arial" w:cs="Arial" w:eastAsia="Arial" w:hAnsi="Arial"/>
          <w:sz w:val="20"/>
          <w:szCs w:val="20"/>
        </w:rPr>
        <w:t xml:space="preserve">The organisation shall establish and maintain an AI governance framework consistent with ISO/IEC 42001:2023. For medical device manufacturers, this AI governance framework shall be integrated within the existing ISO 13485 QMS rather than established as a separate management system. The integration shall address:</w:t>
      </w:r>
    </w:p>
    <w:p>
      <w:pPr>
        <w:pStyle w:val="ListParagraph"/>
        <w:numPr>
          <w:ilvl w:val="0"/>
          <w:numId w:val="2"/>
        </w:numPr>
        <w:spacing w:after="40" w:before="20"/>
        <w:ind w:left="540" w:hanging="360"/>
      </w:pPr>
      <w:r>
        <w:rPr>
          <w:rFonts w:ascii="Arial" w:cs="Arial" w:eastAsia="Arial" w:hAnsi="Arial"/>
          <w:sz w:val="20"/>
          <w:szCs w:val="20"/>
        </w:rPr>
        <w:t xml:space="preserve">AI policy and strategic objectives for responsible AI development</w:t>
      </w:r>
    </w:p>
    <w:p>
      <w:pPr>
        <w:pStyle w:val="ListParagraph"/>
        <w:numPr>
          <w:ilvl w:val="0"/>
          <w:numId w:val="2"/>
        </w:numPr>
        <w:spacing w:after="40" w:before="20"/>
        <w:ind w:left="540" w:hanging="360"/>
      </w:pPr>
      <w:r>
        <w:rPr>
          <w:rFonts w:ascii="Arial" w:cs="Arial" w:eastAsia="Arial" w:hAnsi="Arial"/>
          <w:sz w:val="20"/>
          <w:szCs w:val="20"/>
        </w:rPr>
        <w:t xml:space="preserve">AI roles and responsibilities (AI Lead, AI Ethics review, clinical validation authority)</w:t>
      </w:r>
    </w:p>
    <w:p>
      <w:pPr>
        <w:pStyle w:val="ListParagraph"/>
        <w:numPr>
          <w:ilvl w:val="0"/>
          <w:numId w:val="2"/>
        </w:numPr>
        <w:spacing w:after="40" w:before="20"/>
        <w:ind w:left="540" w:hanging="360"/>
      </w:pPr>
      <w:r>
        <w:rPr>
          <w:rFonts w:ascii="Arial" w:cs="Arial" w:eastAsia="Arial" w:hAnsi="Arial"/>
          <w:sz w:val="20"/>
          <w:szCs w:val="20"/>
        </w:rPr>
        <w:t xml:space="preserve">AI risk and impact assessment processes specific to clinical AI applications</w:t>
      </w:r>
    </w:p>
    <w:p>
      <w:pPr>
        <w:pStyle w:val="ListParagraph"/>
        <w:numPr>
          <w:ilvl w:val="0"/>
          <w:numId w:val="2"/>
        </w:numPr>
        <w:spacing w:after="40" w:before="20"/>
        <w:ind w:left="540" w:hanging="360"/>
      </w:pPr>
      <w:r>
        <w:rPr>
          <w:rFonts w:ascii="Arial" w:cs="Arial" w:eastAsia="Arial" w:hAnsi="Arial"/>
          <w:sz w:val="20"/>
          <w:szCs w:val="20"/>
        </w:rPr>
        <w:t xml:space="preserve">Human oversight principles and escalation criteria</w:t>
      </w:r>
    </w:p>
    <w:p>
      <w:pPr>
        <w:pStyle w:val="ListParagraph"/>
        <w:numPr>
          <w:ilvl w:val="0"/>
          <w:numId w:val="2"/>
        </w:numPr>
        <w:spacing w:after="40" w:before="20"/>
        <w:ind w:left="540" w:hanging="360"/>
      </w:pPr>
      <w:r>
        <w:rPr>
          <w:rFonts w:ascii="Arial" w:cs="Arial" w:eastAsia="Arial" w:hAnsi="Arial"/>
          <w:sz w:val="20"/>
          <w:szCs w:val="20"/>
        </w:rPr>
        <w:t xml:space="preserve">Data governance policy covering data quality, representativeness, provenance, and retention</w:t>
      </w:r>
    </w:p>
    <w:p>
      <w:pPr>
        <w:pStyle w:val="ListParagraph"/>
        <w:numPr>
          <w:ilvl w:val="0"/>
          <w:numId w:val="2"/>
        </w:numPr>
        <w:spacing w:after="40" w:before="20"/>
        <w:ind w:left="540" w:hanging="360"/>
      </w:pPr>
      <w:r>
        <w:rPr>
          <w:rFonts w:ascii="Arial" w:cs="Arial" w:eastAsia="Arial" w:hAnsi="Arial"/>
          <w:sz w:val="20"/>
          <w:szCs w:val="20"/>
        </w:rPr>
        <w:t xml:space="preserve">Transparency and explainability standards for deployed AI systems</w:t>
      </w:r>
    </w:p>
    <w:p>
      <w:r>
        <w:br w:type="page"/>
      </w:r>
    </w:p>
    <w:p>
      <w:pPr>
        <w:pStyle w:val="Heading1"/>
        <w:shd w:fill="1A5C5C" w:val="clear"/>
        <w:spacing w:after="100" w:before="200"/>
        <w:ind w:left="120"/>
      </w:pPr>
      <w:r>
        <w:rPr>
          <w:rFonts w:ascii="Arial" w:cs="Arial" w:eastAsia="Arial" w:hAnsi="Arial"/>
          <w:b/>
          <w:bCs/>
          <w:color w:val="FFFFFF"/>
          <w:sz w:val="28"/>
          <w:szCs w:val="28"/>
        </w:rPr>
        <w:t xml:space="preserve">4.  PHASE 1 — AI PLANNING</w:t>
      </w:r>
    </w:p>
    <w:p>
      <w:pPr>
        <w:spacing w:after="80" w:before="0"/>
      </w:pPr>
    </w:p>
    <w:p>
      <w:pPr>
        <w:spacing w:after="80" w:before="40"/>
      </w:pPr>
      <w:r>
        <w:rPr>
          <w:rFonts w:ascii="Arial" w:cs="Arial" w:eastAsia="Arial" w:hAnsi="Arial"/>
          <w:sz w:val="20"/>
          <w:szCs w:val="20"/>
        </w:rPr>
        <w:t xml:space="preserve">AI Planning is the foundational phase that establishes the governance framework, requirements, and constraints for the entire AI development lifecycle. It is mandatory for all AI-enabled devices regardless of IEC 62304 safety class or rigor level. Outputs from AI Planning shall be documented in the AI Development Plan, which supplements the Software Development Plan (SJL-TMP-SW-001).</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120"/>
        <w:gridCol w:w="7517"/>
      </w:tblGrid>
      <w:tr>
        <w:tc>
          <w:tcPr>
            <w:tcW w:type="dxa" w:w="2120"/>
            <w:gridSpan w:val="1"/>
            <w:tcBorders>
              <w:top w:val="none" w:color="FFFFFF" w:sz="0"/>
              <w:left w:val="none" w:color="FFFFFF" w:sz="0"/>
              <w:bottom w:val="none" w:color="FFFFFF" w:sz="0"/>
              <w:right w:val="none" w:color="FFFFFF" w:sz="0"/>
            </w:tcBorders>
            <w:shd w:fill="1A5C5C" w:val="clear"/>
            <w:tcMar>
              <w:top w:type="dxa" w:w="80"/>
              <w:left w:type="dxa" w:w="150"/>
              <w:bottom w:type="dxa" w:w="80"/>
              <w:right w:type="dxa" w:w="150"/>
            </w:tcMar>
          </w:tcPr>
          <w:p>
            <w:pPr>
              <w:spacing w:after="40"/>
            </w:pPr>
            <w:r>
              <w:rPr>
                <w:rFonts w:ascii="Arial" w:cs="Arial" w:eastAsia="Arial" w:hAnsi="Arial"/>
                <w:b/>
                <w:bCs/>
                <w:color w:val="D6EEEE"/>
                <w:sz w:val="18"/>
                <w:szCs w:val="18"/>
              </w:rPr>
              <w:t xml:space="preserve">Phase 1</w:t>
            </w:r>
          </w:p>
          <w:p>
            <w:r>
              <w:rPr>
                <w:rFonts w:ascii="Arial" w:cs="Arial" w:eastAsia="Arial" w:hAnsi="Arial"/>
                <w:b/>
                <w:bCs/>
                <w:color w:val="FFFFFF"/>
                <w:sz w:val="22"/>
                <w:szCs w:val="22"/>
              </w:rPr>
              <w:t xml:space="preserve">AI Planning</w:t>
            </w:r>
          </w:p>
        </w:tc>
        <w:tc>
          <w:tcPr>
            <w:tcW w:type="dxa" w:w="7517"/>
            <w:gridSpan w:val="1"/>
            <w:tcBorders>
              <w:top w:val="none" w:color="FFFFFF" w:sz="0"/>
              <w:left w:val="none" w:color="FFFFFF" w:sz="0"/>
              <w:bottom w:val="none" w:color="FFFFFF" w:sz="0"/>
              <w:right w:val="none" w:color="FFFFFF" w:sz="0"/>
            </w:tcBorders>
            <w:shd w:fill="D6EEEE" w:val="clear"/>
            <w:tcMar>
              <w:top w:type="dxa" w:w="80"/>
              <w:left w:type="dxa" w:w="150"/>
              <w:bottom w:type="dxa" w:w="80"/>
              <w:right w:type="dxa" w:w="150"/>
            </w:tcMar>
          </w:tcPr>
          <w:p>
            <w:pPr>
              <w:spacing w:after="20" w:before="20"/>
            </w:pPr>
            <w:r>
              <w:rPr>
                <w:rFonts w:ascii="Arial" w:cs="Arial" w:eastAsia="Arial" w:hAnsi="Arial"/>
                <w:color w:val="1A1A1A"/>
                <w:sz w:val="18"/>
                <w:szCs w:val="18"/>
              </w:rPr>
              <w:t xml:space="preserve">Define the AI intended use and clinical purpose</w:t>
            </w:r>
          </w:p>
          <w:p>
            <w:pPr>
              <w:spacing w:after="20" w:before="20"/>
            </w:pPr>
            <w:r>
              <w:rPr>
                <w:rFonts w:ascii="Arial" w:cs="Arial" w:eastAsia="Arial" w:hAnsi="Arial"/>
                <w:color w:val="1A1A1A"/>
                <w:sz w:val="18"/>
                <w:szCs w:val="18"/>
              </w:rPr>
              <w:t xml:space="preserve">Establish performance requirements and acceptance criteria</w:t>
            </w:r>
          </w:p>
          <w:p>
            <w:pPr>
              <w:spacing w:after="20" w:before="20"/>
            </w:pPr>
            <w:r>
              <w:rPr>
                <w:rFonts w:ascii="Arial" w:cs="Arial" w:eastAsia="Arial" w:hAnsi="Arial"/>
                <w:color w:val="1A1A1A"/>
                <w:sz w:val="18"/>
                <w:szCs w:val="18"/>
              </w:rPr>
              <w:t xml:space="preserve">Define data requirements, governance, and sourcing strategy</w:t>
            </w:r>
          </w:p>
          <w:p>
            <w:pPr>
              <w:spacing w:after="20" w:before="20"/>
            </w:pPr>
            <w:r>
              <w:rPr>
                <w:rFonts w:ascii="Arial" w:cs="Arial" w:eastAsia="Arial" w:hAnsi="Arial"/>
                <w:color w:val="1A1A1A"/>
                <w:sz w:val="18"/>
                <w:szCs w:val="18"/>
              </w:rPr>
              <w:t xml:space="preserve">Identify human oversight requirements and override mechanisms</w:t>
            </w:r>
          </w:p>
          <w:p>
            <w:pPr>
              <w:spacing w:after="20" w:before="20"/>
            </w:pPr>
            <w:r>
              <w:rPr>
                <w:rFonts w:ascii="Arial" w:cs="Arial" w:eastAsia="Arial" w:hAnsi="Arial"/>
                <w:color w:val="1A1A1A"/>
                <w:sz w:val="18"/>
                <w:szCs w:val="18"/>
              </w:rPr>
              <w:t xml:space="preserve">Determine AI Act and MDR classification</w:t>
            </w:r>
          </w:p>
          <w:p>
            <w:pPr>
              <w:spacing w:after="20" w:before="20"/>
            </w:pPr>
            <w:r>
              <w:rPr>
                <w:rFonts w:ascii="Arial" w:cs="Arial" w:eastAsia="Arial" w:hAnsi="Arial"/>
                <w:color w:val="1A1A1A"/>
                <w:sz w:val="18"/>
                <w:szCs w:val="18"/>
              </w:rPr>
              <w:t xml:space="preserve">Establish PCCP scope (where applicable)</w:t>
            </w:r>
          </w:p>
          <w:p>
            <w:pPr>
              <w:spacing w:after="20" w:before="20"/>
            </w:pPr>
            <w:r>
              <w:rPr>
                <w:rFonts w:ascii="Arial" w:cs="Arial" w:eastAsia="Arial" w:hAnsi="Arial"/>
                <w:color w:val="1A1A1A"/>
                <w:sz w:val="18"/>
                <w:szCs w:val="18"/>
              </w:rPr>
              <w:t xml:space="preserve">Define AI-specific cybersecurity requirements</w:t>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4.1  AI Intended Use and Clinical Purpose</w:t>
      </w:r>
    </w:p>
    <w:p>
      <w:pPr>
        <w:spacing w:after="80" w:before="40"/>
      </w:pPr>
      <w:r>
        <w:rPr>
          <w:rFonts w:ascii="Arial" w:cs="Arial" w:eastAsia="Arial" w:hAnsi="Arial"/>
          <w:sz w:val="20"/>
          <w:szCs w:val="20"/>
        </w:rPr>
        <w:t xml:space="preserve">The AI Development Plan shall document a precise, unambiguous statement of the intended clinical use of each AI component. The intended use statement shall address:</w:t>
      </w:r>
    </w:p>
    <w:p>
      <w:pPr>
        <w:pStyle w:val="ListParagraph"/>
        <w:numPr>
          <w:ilvl w:val="0"/>
          <w:numId w:val="2"/>
        </w:numPr>
        <w:spacing w:after="40" w:before="20"/>
        <w:ind w:left="540" w:hanging="360"/>
      </w:pPr>
      <w:r>
        <w:rPr>
          <w:rFonts w:ascii="Arial" w:cs="Arial" w:eastAsia="Arial" w:hAnsi="Arial"/>
          <w:sz w:val="20"/>
          <w:szCs w:val="20"/>
        </w:rPr>
        <w:t xml:space="preserve">The clinical task the AI component performs (e.g. image classification, risk score generation, treatment recommendation, anomaly detection)</w:t>
      </w:r>
    </w:p>
    <w:p>
      <w:pPr>
        <w:pStyle w:val="ListParagraph"/>
        <w:numPr>
          <w:ilvl w:val="0"/>
          <w:numId w:val="2"/>
        </w:numPr>
        <w:spacing w:after="40" w:before="20"/>
        <w:ind w:left="540" w:hanging="360"/>
      </w:pPr>
      <w:r>
        <w:rPr>
          <w:rFonts w:ascii="Arial" w:cs="Arial" w:eastAsia="Arial" w:hAnsi="Arial"/>
          <w:sz w:val="20"/>
          <w:szCs w:val="20"/>
        </w:rPr>
        <w:t xml:space="preserve">The clinical workflow context in which the AI output is used, including the point of care and clinical setting</w:t>
      </w:r>
    </w:p>
    <w:p>
      <w:pPr>
        <w:pStyle w:val="ListParagraph"/>
        <w:numPr>
          <w:ilvl w:val="0"/>
          <w:numId w:val="2"/>
        </w:numPr>
        <w:spacing w:after="40" w:before="20"/>
        <w:ind w:left="540" w:hanging="360"/>
      </w:pPr>
      <w:r>
        <w:rPr>
          <w:rFonts w:ascii="Arial" w:cs="Arial" w:eastAsia="Arial" w:hAnsi="Arial"/>
          <w:sz w:val="20"/>
          <w:szCs w:val="20"/>
        </w:rPr>
        <w:t xml:space="preserve">The intended user population, including professional qualifications and expected level of AI literacy</w:t>
      </w:r>
    </w:p>
    <w:p>
      <w:pPr>
        <w:pStyle w:val="ListParagraph"/>
        <w:numPr>
          <w:ilvl w:val="0"/>
          <w:numId w:val="2"/>
        </w:numPr>
        <w:spacing w:after="40" w:before="20"/>
        <w:ind w:left="540" w:hanging="360"/>
      </w:pPr>
      <w:r>
        <w:rPr>
          <w:rFonts w:ascii="Arial" w:cs="Arial" w:eastAsia="Arial" w:hAnsi="Arial"/>
          <w:sz w:val="20"/>
          <w:szCs w:val="20"/>
        </w:rPr>
        <w:t xml:space="preserve">The patient population to which the AI applies, including any demographic or clinical constraints on intended use</w:t>
      </w:r>
    </w:p>
    <w:p>
      <w:pPr>
        <w:pStyle w:val="ListParagraph"/>
        <w:numPr>
          <w:ilvl w:val="0"/>
          <w:numId w:val="2"/>
        </w:numPr>
        <w:spacing w:after="40" w:before="20"/>
        <w:ind w:left="540" w:hanging="360"/>
      </w:pPr>
      <w:r>
        <w:rPr>
          <w:rFonts w:ascii="Arial" w:cs="Arial" w:eastAsia="Arial" w:hAnsi="Arial"/>
          <w:sz w:val="20"/>
          <w:szCs w:val="20"/>
        </w:rPr>
        <w:t xml:space="preserve">The intended use environment including hardware platform, network connectivity, and integration with clinical systems</w:t>
      </w:r>
    </w:p>
    <w:p>
      <w:pPr>
        <w:pStyle w:val="ListParagraph"/>
        <w:numPr>
          <w:ilvl w:val="0"/>
          <w:numId w:val="2"/>
        </w:numPr>
        <w:spacing w:after="40" w:before="20"/>
        <w:ind w:left="540" w:hanging="360"/>
      </w:pPr>
      <w:r>
        <w:rPr>
          <w:rFonts w:ascii="Arial" w:cs="Arial" w:eastAsia="Arial" w:hAnsi="Arial"/>
          <w:sz w:val="20"/>
          <w:szCs w:val="20"/>
        </w:rPr>
        <w:t xml:space="preserve">Known contraindications and limitations of use — populations, conditions, or contexts in which the AI should not be applied</w:t>
      </w:r>
    </w:p>
    <w:p>
      <w:pPr>
        <w:spacing w:after="80" w:before="0"/>
      </w:pPr>
    </w:p>
    <w:p>
      <w:pPr>
        <w:shd w:fill="DFF0D8" w:val="clear"/>
        <w:spacing w:after="80" w:before="40"/>
        <w:ind w:left="360"/>
      </w:pPr>
      <w:r>
        <w:rPr>
          <w:rFonts w:ascii="Arial" w:cs="Arial" w:eastAsia="Arial" w:hAnsi="Arial"/>
          <w:b/>
          <w:bCs/>
          <w:color w:val="1D5C1D"/>
          <w:sz w:val="18"/>
          <w:szCs w:val="18"/>
        </w:rPr>
        <w:t xml:space="preserve">✓ </w:t>
      </w:r>
      <w:r>
        <w:rPr>
          <w:rFonts w:ascii="Arial" w:cs="Arial" w:eastAsia="Arial" w:hAnsi="Arial"/>
          <w:color w:val="1D5C1D"/>
          <w:sz w:val="18"/>
          <w:szCs w:val="18"/>
        </w:rPr>
        <w:t xml:space="preserve">The intended use statement is not a marketing description. It is a technical and regulatory commitment that defines the scope of clinical validation, the data requirements, and the boundaries of PCCP-governed changes. Vague intended use statements are a leading cause of regulatory deficiency letters.</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4.2  Performance Requirements and Acceptance Criteria</w:t>
      </w:r>
    </w:p>
    <w:p>
      <w:pPr>
        <w:spacing w:after="80" w:before="40"/>
      </w:pPr>
      <w:r>
        <w:rPr>
          <w:rFonts w:ascii="Arial" w:cs="Arial" w:eastAsia="Arial" w:hAnsi="Arial"/>
          <w:sz w:val="20"/>
          <w:szCs w:val="20"/>
        </w:rPr>
        <w:t xml:space="preserve">Quantitative performance requirements shall be established before data collection and model development begin. Performance requirements shall be clinically meaningful, not solely technically convenient. Requirements shall specify:</w:t>
      </w:r>
    </w:p>
    <w:p>
      <w:pPr>
        <w:pStyle w:val="ListParagraph"/>
        <w:numPr>
          <w:ilvl w:val="0"/>
          <w:numId w:val="2"/>
        </w:numPr>
        <w:spacing w:after="40" w:before="20"/>
        <w:ind w:left="540" w:hanging="360"/>
      </w:pPr>
      <w:r>
        <w:rPr>
          <w:rFonts w:ascii="Arial" w:cs="Arial" w:eastAsia="Arial" w:hAnsi="Arial"/>
          <w:sz w:val="20"/>
          <w:szCs w:val="20"/>
        </w:rPr>
        <w:t xml:space="preserve">Primary performance metric(s) appropriate to the clinical task (e.g. sensitivity/specificity for diagnostic tasks, RMSE for regression outputs, AUC-ROC for classification)</w:t>
      </w:r>
    </w:p>
    <w:p>
      <w:pPr>
        <w:pStyle w:val="ListParagraph"/>
        <w:numPr>
          <w:ilvl w:val="0"/>
          <w:numId w:val="2"/>
        </w:numPr>
        <w:spacing w:after="40" w:before="20"/>
        <w:ind w:left="540" w:hanging="360"/>
      </w:pPr>
      <w:r>
        <w:rPr>
          <w:rFonts w:ascii="Arial" w:cs="Arial" w:eastAsia="Arial" w:hAnsi="Arial"/>
          <w:sz w:val="20"/>
          <w:szCs w:val="20"/>
        </w:rPr>
        <w:t xml:space="preserve">Minimum acceptable performance threshold validated against clinical evidence or regulatory precedent</w:t>
      </w:r>
    </w:p>
    <w:p>
      <w:pPr>
        <w:pStyle w:val="ListParagraph"/>
        <w:numPr>
          <w:ilvl w:val="0"/>
          <w:numId w:val="2"/>
        </w:numPr>
        <w:spacing w:after="40" w:before="20"/>
        <w:ind w:left="540" w:hanging="360"/>
      </w:pPr>
      <w:r>
        <w:rPr>
          <w:rFonts w:ascii="Arial" w:cs="Arial" w:eastAsia="Arial" w:hAnsi="Arial"/>
          <w:sz w:val="20"/>
          <w:szCs w:val="20"/>
        </w:rPr>
        <w:t xml:space="preserve">Performance requirements stratified by clinically relevant subgroups (age, sex, ethnicity, comorbidity, imaging modality, scanner manufacturer — as applicable)</w:t>
      </w:r>
    </w:p>
    <w:p>
      <w:pPr>
        <w:pStyle w:val="ListParagraph"/>
        <w:numPr>
          <w:ilvl w:val="0"/>
          <w:numId w:val="2"/>
        </w:numPr>
        <w:spacing w:after="40" w:before="20"/>
        <w:ind w:left="540" w:hanging="360"/>
      </w:pPr>
      <w:r>
        <w:rPr>
          <w:rFonts w:ascii="Arial" w:cs="Arial" w:eastAsia="Arial" w:hAnsi="Arial"/>
          <w:sz w:val="20"/>
          <w:szCs w:val="20"/>
        </w:rPr>
        <w:t xml:space="preserve">Non-inferiority or superiority margin relative to standard of care where relevant to the intended use claim</w:t>
      </w:r>
    </w:p>
    <w:p>
      <w:pPr>
        <w:pStyle w:val="ListParagraph"/>
        <w:numPr>
          <w:ilvl w:val="0"/>
          <w:numId w:val="2"/>
        </w:numPr>
        <w:spacing w:after="40" w:before="20"/>
        <w:ind w:left="540" w:hanging="360"/>
      </w:pPr>
      <w:r>
        <w:rPr>
          <w:rFonts w:ascii="Arial" w:cs="Arial" w:eastAsia="Arial" w:hAnsi="Arial"/>
          <w:sz w:val="20"/>
          <w:szCs w:val="20"/>
        </w:rPr>
        <w:t xml:space="preserve">Failure mode performance requirements: what must the AI do when it encounters out-of-distribution input, low-confidence predictions, or adversarial input?</w:t>
      </w:r>
    </w:p>
    <w:p>
      <w:pPr>
        <w:pStyle w:val="ListParagraph"/>
        <w:numPr>
          <w:ilvl w:val="0"/>
          <w:numId w:val="2"/>
        </w:numPr>
        <w:spacing w:after="40" w:before="20"/>
        <w:ind w:left="540" w:hanging="360"/>
      </w:pPr>
      <w:r>
        <w:rPr>
          <w:rFonts w:ascii="Arial" w:cs="Arial" w:eastAsia="Arial" w:hAnsi="Arial"/>
          <w:sz w:val="20"/>
          <w:szCs w:val="20"/>
        </w:rPr>
        <w:t xml:space="preserve">Post-market performance monitoring thresholds: at what performance level does the post-market monitoring system trigger a CAPA or regulatory notification?</w:t>
      </w:r>
    </w:p>
    <w:p>
      <w:pPr>
        <w:spacing w:after="80" w:before="0"/>
      </w:pPr>
    </w:p>
    <w:p>
      <w:pPr>
        <w:shd w:fill="F0E6FF" w:val="clear"/>
        <w:spacing w:after="80" w:before="40"/>
        <w:ind w:left="360"/>
      </w:pPr>
      <w:r>
        <w:rPr>
          <w:rFonts w:ascii="Arial" w:cs="Arial" w:eastAsia="Arial" w:hAnsi="Arial"/>
          <w:b/>
          <w:bCs/>
          <w:color w:val="4B0082"/>
          <w:sz w:val="18"/>
          <w:szCs w:val="18"/>
        </w:rPr>
        <w:t xml:space="preserve">AI-SPECIFIC: </w:t>
      </w:r>
      <w:r>
        <w:rPr>
          <w:rFonts w:ascii="Arial" w:cs="Arial" w:eastAsia="Arial" w:hAnsi="Arial"/>
          <w:color w:val="4B0082"/>
          <w:sz w:val="18"/>
          <w:szCs w:val="18"/>
        </w:rPr>
        <w:t xml:space="preserve">Performance requirements for AI medical devices must be established before training begins, not after. Retrospectively defining acceptance criteria based on achieved model performance is a significant quality and regulatory risk. The AI Development Plan shall record the date performance requirements were approved.</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4.3  Human Oversight Design</w:t>
      </w:r>
    </w:p>
    <w:p>
      <w:pPr>
        <w:spacing w:after="80" w:before="40"/>
      </w:pPr>
      <w:r>
        <w:rPr>
          <w:rFonts w:ascii="Arial" w:cs="Arial" w:eastAsia="Arial" w:hAnsi="Arial"/>
          <w:sz w:val="20"/>
          <w:szCs w:val="20"/>
        </w:rPr>
        <w:t xml:space="preserve">EU AI Act Article 14 requires high-risk AI systems to be designed to allow natural persons to effectively oversee the system during operation. The AI Planning phase shall define:</w:t>
      </w:r>
    </w:p>
    <w:p>
      <w:pPr>
        <w:pStyle w:val="ListParagraph"/>
        <w:numPr>
          <w:ilvl w:val="0"/>
          <w:numId w:val="2"/>
        </w:numPr>
        <w:spacing w:after="40" w:before="20"/>
        <w:ind w:left="540" w:hanging="360"/>
      </w:pPr>
      <w:r>
        <w:rPr>
          <w:rFonts w:ascii="Arial" w:cs="Arial" w:eastAsia="Arial" w:hAnsi="Arial"/>
          <w:sz w:val="20"/>
          <w:szCs w:val="20"/>
        </w:rPr>
        <w:t xml:space="preserve">The human oversight model: is the AI output advisory (human decides) or automated (AI acts autonomously)? What is the intervention pathway for clinical staff?</w:t>
      </w:r>
    </w:p>
    <w:p>
      <w:pPr>
        <w:pStyle w:val="ListParagraph"/>
        <w:numPr>
          <w:ilvl w:val="0"/>
          <w:numId w:val="2"/>
        </w:numPr>
        <w:spacing w:after="40" w:before="20"/>
        <w:ind w:left="540" w:hanging="360"/>
      </w:pPr>
      <w:r>
        <w:rPr>
          <w:rFonts w:ascii="Arial" w:cs="Arial" w:eastAsia="Arial" w:hAnsi="Arial"/>
          <w:sz w:val="20"/>
          <w:szCs w:val="20"/>
        </w:rPr>
        <w:t xml:space="preserve">Override capability: can a clinician reject or override an AI recommendation? How is this captured in the audit trail?</w:t>
      </w:r>
    </w:p>
    <w:p>
      <w:pPr>
        <w:pStyle w:val="ListParagraph"/>
        <w:numPr>
          <w:ilvl w:val="0"/>
          <w:numId w:val="2"/>
        </w:numPr>
        <w:spacing w:after="40" w:before="20"/>
        <w:ind w:left="540" w:hanging="360"/>
      </w:pPr>
      <w:r>
        <w:rPr>
          <w:rFonts w:ascii="Arial" w:cs="Arial" w:eastAsia="Arial" w:hAnsi="Arial"/>
          <w:sz w:val="20"/>
          <w:szCs w:val="20"/>
        </w:rPr>
        <w:t xml:space="preserve">Display and transparency requirements: how is the AI output presented to the user, including confidence indicators, uncertainty quantification, and basis-of-recommendation explanation where technically feasible</w:t>
      </w:r>
    </w:p>
    <w:p>
      <w:pPr>
        <w:pStyle w:val="ListParagraph"/>
        <w:numPr>
          <w:ilvl w:val="0"/>
          <w:numId w:val="2"/>
        </w:numPr>
        <w:spacing w:after="40" w:before="20"/>
        <w:ind w:left="540" w:hanging="360"/>
      </w:pPr>
      <w:r>
        <w:rPr>
          <w:rFonts w:ascii="Arial" w:cs="Arial" w:eastAsia="Arial" w:hAnsi="Arial"/>
          <w:sz w:val="20"/>
          <w:szCs w:val="20"/>
        </w:rPr>
        <w:t xml:space="preserve">Monitoring thresholds: at what performance degradation level does the system alert clinical staff or suspend AI-driven automation?</w:t>
      </w:r>
    </w:p>
    <w:p>
      <w:pPr>
        <w:pStyle w:val="ListParagraph"/>
        <w:numPr>
          <w:ilvl w:val="0"/>
          <w:numId w:val="2"/>
        </w:numPr>
        <w:spacing w:after="40" w:before="20"/>
        <w:ind w:left="540" w:hanging="360"/>
      </w:pPr>
      <w:r>
        <w:rPr>
          <w:rFonts w:ascii="Arial" w:cs="Arial" w:eastAsia="Arial" w:hAnsi="Arial"/>
          <w:sz w:val="20"/>
          <w:szCs w:val="20"/>
        </w:rPr>
        <w:t xml:space="preserve">Competency requirements for users: minimum training required to safely use the AI output in clinical practice</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4.4  AI-Specific Security Planning</w:t>
      </w:r>
    </w:p>
    <w:p>
      <w:pPr>
        <w:spacing w:after="80" w:before="40"/>
      </w:pPr>
      <w:r>
        <w:rPr>
          <w:rFonts w:ascii="Arial" w:cs="Arial" w:eastAsia="Arial" w:hAnsi="Arial"/>
          <w:sz w:val="20"/>
          <w:szCs w:val="20"/>
        </w:rPr>
        <w:t xml:space="preserve">AI components introduce attack vectors not present in conventional software. The AI Development Plan shall identify and plan mitigations for the following AI-specific security requirements, supplementing the Security Development Plan under SJL-SOP-SEC-001 § 5.1:</w:t>
      </w:r>
    </w:p>
    <w:p>
      <w:pPr>
        <w:pStyle w:val="ListParagraph"/>
        <w:numPr>
          <w:ilvl w:val="0"/>
          <w:numId w:val="2"/>
        </w:numPr>
        <w:spacing w:after="40" w:before="20"/>
        <w:ind w:left="540" w:hanging="360"/>
      </w:pPr>
      <w:r>
        <w:rPr>
          <w:rFonts w:ascii="Arial" w:cs="Arial" w:eastAsia="Arial" w:hAnsi="Arial"/>
          <w:sz w:val="20"/>
          <w:szCs w:val="20"/>
        </w:rPr>
        <w:t xml:space="preserve">Data pipeline integrity: controls to prevent unauthorised modification of training data or inference data in transit</w:t>
      </w:r>
    </w:p>
    <w:p>
      <w:pPr>
        <w:pStyle w:val="ListParagraph"/>
        <w:numPr>
          <w:ilvl w:val="0"/>
          <w:numId w:val="2"/>
        </w:numPr>
        <w:spacing w:after="40" w:before="20"/>
        <w:ind w:left="540" w:hanging="360"/>
      </w:pPr>
      <w:r>
        <w:rPr>
          <w:rFonts w:ascii="Arial" w:cs="Arial" w:eastAsia="Arial" w:hAnsi="Arial"/>
          <w:sz w:val="20"/>
          <w:szCs w:val="20"/>
        </w:rPr>
        <w:t xml:space="preserve">Model integrity: cryptographic verification of model weights and inference pipeline components at load time and update time</w:t>
      </w:r>
    </w:p>
    <w:p>
      <w:pPr>
        <w:pStyle w:val="ListParagraph"/>
        <w:numPr>
          <w:ilvl w:val="0"/>
          <w:numId w:val="2"/>
        </w:numPr>
        <w:spacing w:after="40" w:before="20"/>
        <w:ind w:left="540" w:hanging="360"/>
      </w:pPr>
      <w:r>
        <w:rPr>
          <w:rFonts w:ascii="Arial" w:cs="Arial" w:eastAsia="Arial" w:hAnsi="Arial"/>
          <w:sz w:val="20"/>
          <w:szCs w:val="20"/>
        </w:rPr>
        <w:t xml:space="preserve">Adversarial input robustness: specification of robustness requirements against adversarial perturbations relevant to the input modality</w:t>
      </w:r>
    </w:p>
    <w:p>
      <w:pPr>
        <w:pStyle w:val="ListParagraph"/>
        <w:numPr>
          <w:ilvl w:val="0"/>
          <w:numId w:val="2"/>
        </w:numPr>
        <w:spacing w:after="40" w:before="20"/>
        <w:ind w:left="540" w:hanging="360"/>
      </w:pPr>
      <w:r>
        <w:rPr>
          <w:rFonts w:ascii="Arial" w:cs="Arial" w:eastAsia="Arial" w:hAnsi="Arial"/>
          <w:sz w:val="20"/>
          <w:szCs w:val="20"/>
        </w:rPr>
        <w:t xml:space="preserve">Third-party model supply chain: provenance verification requirements for any externally sourced pre-trained model or foundation model (SOUP assessment per SJL-SOP-SW-001 § 6.2)</w:t>
      </w:r>
    </w:p>
    <w:p>
      <w:pPr>
        <w:pStyle w:val="ListParagraph"/>
        <w:numPr>
          <w:ilvl w:val="0"/>
          <w:numId w:val="2"/>
        </w:numPr>
        <w:spacing w:after="40" w:before="20"/>
        <w:ind w:left="540" w:hanging="360"/>
      </w:pPr>
      <w:r>
        <w:rPr>
          <w:rFonts w:ascii="Arial" w:cs="Arial" w:eastAsia="Arial" w:hAnsi="Arial"/>
          <w:sz w:val="20"/>
          <w:szCs w:val="20"/>
        </w:rPr>
        <w:t xml:space="preserve">Agentic AI isolation: for AI components with tool-use or external API access capabilities, isolation and least-privilege requirements consistent with SJL-SOP-SEC-001 § 5.4</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4.5  Predetermined Change Control Plan (PCCP)</w:t>
      </w:r>
    </w:p>
    <w:p>
      <w:pPr>
        <w:spacing w:after="80" w:before="40"/>
      </w:pPr>
      <w:r>
        <w:rPr>
          <w:rFonts w:ascii="Arial" w:cs="Arial" w:eastAsia="Arial" w:hAnsi="Arial"/>
          <w:sz w:val="20"/>
          <w:szCs w:val="20"/>
        </w:rPr>
        <w:t xml:space="preserve">Where the manufacturer anticipates post-market AI model updates, a PCCP shall be developed during the AI Planning phase and submitted with the initial regulatory submission. The PCCP establishes a pre-approved framework within which specified model changes can be implemented without new regulatory submissions. The PCCP shall define:</w:t>
      </w:r>
    </w:p>
    <w:p>
      <w:pPr>
        <w:pStyle w:val="ListParagraph"/>
        <w:numPr>
          <w:ilvl w:val="0"/>
          <w:numId w:val="2"/>
        </w:numPr>
        <w:spacing w:after="40" w:before="20"/>
        <w:ind w:left="540" w:hanging="360"/>
      </w:pPr>
      <w:r>
        <w:rPr>
          <w:rFonts w:ascii="Arial" w:cs="Arial" w:eastAsia="Arial" w:hAnsi="Arial"/>
          <w:sz w:val="20"/>
          <w:szCs w:val="20"/>
        </w:rPr>
        <w:t xml:space="preserve">The scope of AI modifications covered (e.g. retraining with additional data from the same imaging modality, hyperparameter adjustment within defined bounds, performance threshold adjustments within defined limits)</w:t>
      </w:r>
    </w:p>
    <w:p>
      <w:pPr>
        <w:pStyle w:val="ListParagraph"/>
        <w:numPr>
          <w:ilvl w:val="0"/>
          <w:numId w:val="2"/>
        </w:numPr>
        <w:spacing w:after="40" w:before="20"/>
        <w:ind w:left="540" w:hanging="360"/>
      </w:pPr>
      <w:r>
        <w:rPr>
          <w:rFonts w:ascii="Arial" w:cs="Arial" w:eastAsia="Arial" w:hAnsi="Arial"/>
          <w:sz w:val="20"/>
          <w:szCs w:val="20"/>
        </w:rPr>
        <w:t xml:space="preserve">The modifications explicitly excluded from PCCP coverage that require new or updated submissions</w:t>
      </w:r>
    </w:p>
    <w:p>
      <w:pPr>
        <w:pStyle w:val="ListParagraph"/>
        <w:numPr>
          <w:ilvl w:val="0"/>
          <w:numId w:val="2"/>
        </w:numPr>
        <w:spacing w:after="40" w:before="20"/>
        <w:ind w:left="540" w:hanging="360"/>
      </w:pPr>
      <w:r>
        <w:rPr>
          <w:rFonts w:ascii="Arial" w:cs="Arial" w:eastAsia="Arial" w:hAnsi="Arial"/>
          <w:sz w:val="20"/>
          <w:szCs w:val="20"/>
        </w:rPr>
        <w:t xml:space="preserve">The testing and validation protocol for each category of covered change, including performance benchmarks, statistical methods, and acceptance criteria</w:t>
      </w:r>
    </w:p>
    <w:p>
      <w:pPr>
        <w:pStyle w:val="ListParagraph"/>
        <w:numPr>
          <w:ilvl w:val="0"/>
          <w:numId w:val="2"/>
        </w:numPr>
        <w:spacing w:after="40" w:before="20"/>
        <w:ind w:left="540" w:hanging="360"/>
      </w:pPr>
      <w:r>
        <w:rPr>
          <w:rFonts w:ascii="Arial" w:cs="Arial" w:eastAsia="Arial" w:hAnsi="Arial"/>
          <w:sz w:val="20"/>
          <w:szCs w:val="20"/>
        </w:rPr>
        <w:t xml:space="preserve">The data requirements for covered changes, including minimum additional data volume, geographic and demographic representativeness requirements, and annotation standards</w:t>
      </w:r>
    </w:p>
    <w:p>
      <w:pPr>
        <w:pStyle w:val="ListParagraph"/>
        <w:numPr>
          <w:ilvl w:val="0"/>
          <w:numId w:val="2"/>
        </w:numPr>
        <w:spacing w:after="40" w:before="20"/>
        <w:ind w:left="540" w:hanging="360"/>
      </w:pPr>
      <w:r>
        <w:rPr>
          <w:rFonts w:ascii="Arial" w:cs="Arial" w:eastAsia="Arial" w:hAnsi="Arial"/>
          <w:sz w:val="20"/>
          <w:szCs w:val="20"/>
        </w:rPr>
        <w:t xml:space="preserve">The change verification and validation protocol — what must be demonstrated before each PCCP-governed change is implemented</w:t>
      </w:r>
    </w:p>
    <w:p>
      <w:pPr>
        <w:pStyle w:val="ListParagraph"/>
        <w:numPr>
          <w:ilvl w:val="0"/>
          <w:numId w:val="2"/>
        </w:numPr>
        <w:spacing w:after="40" w:before="20"/>
        <w:ind w:left="540" w:hanging="360"/>
      </w:pPr>
      <w:r>
        <w:rPr>
          <w:rFonts w:ascii="Arial" w:cs="Arial" w:eastAsia="Arial" w:hAnsi="Arial"/>
          <w:sz w:val="20"/>
          <w:szCs w:val="20"/>
        </w:rPr>
        <w:t xml:space="preserve">The communication plan for PCCP-governed changes — how healthcare operators are notified</w:t>
      </w:r>
    </w:p>
    <w:p>
      <w:pPr>
        <w:pStyle w:val="ListParagraph"/>
        <w:numPr>
          <w:ilvl w:val="0"/>
          <w:numId w:val="2"/>
        </w:numPr>
        <w:spacing w:after="40" w:before="20"/>
        <w:ind w:left="540" w:hanging="360"/>
      </w:pPr>
      <w:r>
        <w:rPr>
          <w:rFonts w:ascii="Arial" w:cs="Arial" w:eastAsia="Arial" w:hAnsi="Arial"/>
          <w:sz w:val="20"/>
          <w:szCs w:val="20"/>
        </w:rPr>
        <w:t xml:space="preserve">The post-implementation monitoring period and success criteria for each PCCP change type</w:t>
      </w:r>
    </w:p>
    <w:p>
      <w:pPr>
        <w:spacing w:after="80" w:before="0"/>
      </w:pPr>
    </w:p>
    <w:p>
      <w:pPr>
        <w:shd w:fill="EEF4FB" w:val="clear"/>
        <w:spacing w:after="80" w:before="40"/>
        <w:ind w:left="360"/>
      </w:pPr>
      <w:r>
        <w:rPr>
          <w:rFonts w:ascii="Arial" w:cs="Arial" w:eastAsia="Arial" w:hAnsi="Arial"/>
          <w:b/>
          <w:bCs/>
          <w:i/>
          <w:iCs/>
          <w:color w:val="2E5F9A"/>
          <w:sz w:val="18"/>
          <w:szCs w:val="18"/>
        </w:rPr>
        <w:t xml:space="preserve">NOTE: </w:t>
      </w:r>
      <w:r>
        <w:rPr>
          <w:rFonts w:ascii="Arial" w:cs="Arial" w:eastAsia="Arial" w:hAnsi="Arial"/>
          <w:i/>
          <w:iCs/>
          <w:color w:val="444444"/>
          <w:sz w:val="18"/>
          <w:szCs w:val="18"/>
        </w:rPr>
        <w:t xml:space="preserve">The PCCP does not eliminate the need for rigorous internal validation. It shifts the regulatory mechanism from pre-submission review to a pre-approved framework with defined testing requirements. Each PCCP-governed change still requires documented V&amp;V evidence demonstrating the change meets the PCCP criteria before deployment.</w:t>
      </w:r>
    </w:p>
    <w:p>
      <w:r>
        <w:br w:type="page"/>
      </w:r>
    </w:p>
    <w:p>
      <w:pPr>
        <w:pStyle w:val="Heading1"/>
        <w:shd w:fill="1A5C5C" w:val="clear"/>
        <w:spacing w:after="100" w:before="200"/>
        <w:ind w:left="120"/>
      </w:pPr>
      <w:r>
        <w:rPr>
          <w:rFonts w:ascii="Arial" w:cs="Arial" w:eastAsia="Arial" w:hAnsi="Arial"/>
          <w:b/>
          <w:bCs/>
          <w:color w:val="FFFFFF"/>
          <w:sz w:val="28"/>
          <w:szCs w:val="28"/>
        </w:rPr>
        <w:t xml:space="preserve">5.  PHASE 2 — DATA MANAGEMENT</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120"/>
        <w:gridCol w:w="7517"/>
      </w:tblGrid>
      <w:tr>
        <w:tc>
          <w:tcPr>
            <w:tcW w:type="dxa" w:w="2120"/>
            <w:gridSpan w:val="1"/>
            <w:tcBorders>
              <w:top w:val="none" w:color="FFFFFF" w:sz="0"/>
              <w:left w:val="none" w:color="FFFFFF" w:sz="0"/>
              <w:bottom w:val="none" w:color="FFFFFF" w:sz="0"/>
              <w:right w:val="none" w:color="FFFFFF" w:sz="0"/>
            </w:tcBorders>
            <w:shd w:fill="1A5C5C" w:val="clear"/>
            <w:tcMar>
              <w:top w:type="dxa" w:w="80"/>
              <w:left w:type="dxa" w:w="150"/>
              <w:bottom w:type="dxa" w:w="80"/>
              <w:right w:type="dxa" w:w="150"/>
            </w:tcMar>
          </w:tcPr>
          <w:p>
            <w:pPr>
              <w:spacing w:after="40"/>
            </w:pPr>
            <w:r>
              <w:rPr>
                <w:rFonts w:ascii="Arial" w:cs="Arial" w:eastAsia="Arial" w:hAnsi="Arial"/>
                <w:b/>
                <w:bCs/>
                <w:color w:val="D6EEEE"/>
                <w:sz w:val="18"/>
                <w:szCs w:val="18"/>
              </w:rPr>
              <w:t xml:space="preserve">Phase 2</w:t>
            </w:r>
          </w:p>
          <w:p>
            <w:r>
              <w:rPr>
                <w:rFonts w:ascii="Arial" w:cs="Arial" w:eastAsia="Arial" w:hAnsi="Arial"/>
                <w:b/>
                <w:bCs/>
                <w:color w:val="FFFFFF"/>
                <w:sz w:val="22"/>
                <w:szCs w:val="22"/>
              </w:rPr>
              <w:t xml:space="preserve">Data Management</w:t>
            </w:r>
          </w:p>
        </w:tc>
        <w:tc>
          <w:tcPr>
            <w:tcW w:type="dxa" w:w="7517"/>
            <w:gridSpan w:val="1"/>
            <w:tcBorders>
              <w:top w:val="none" w:color="FFFFFF" w:sz="0"/>
              <w:left w:val="none" w:color="FFFFFF" w:sz="0"/>
              <w:bottom w:val="none" w:color="FFFFFF" w:sz="0"/>
              <w:right w:val="none" w:color="FFFFFF" w:sz="0"/>
            </w:tcBorders>
            <w:shd w:fill="D6EEEE" w:val="clear"/>
            <w:tcMar>
              <w:top w:type="dxa" w:w="80"/>
              <w:left w:type="dxa" w:w="150"/>
              <w:bottom w:type="dxa" w:w="80"/>
              <w:right w:type="dxa" w:w="150"/>
            </w:tcMar>
          </w:tcPr>
          <w:p>
            <w:pPr>
              <w:spacing w:after="20" w:before="20"/>
            </w:pPr>
            <w:r>
              <w:rPr>
                <w:rFonts w:ascii="Arial" w:cs="Arial" w:eastAsia="Arial" w:hAnsi="Arial"/>
                <w:color w:val="1A1A1A"/>
                <w:sz w:val="18"/>
                <w:szCs w:val="18"/>
              </w:rPr>
              <w:t xml:space="preserve">Data collection strategy and source qualification</w:t>
            </w:r>
          </w:p>
          <w:p>
            <w:pPr>
              <w:spacing w:after="20" w:before="20"/>
            </w:pPr>
            <w:r>
              <w:rPr>
                <w:rFonts w:ascii="Arial" w:cs="Arial" w:eastAsia="Arial" w:hAnsi="Arial"/>
                <w:color w:val="1A1A1A"/>
                <w:sz w:val="18"/>
                <w:szCs w:val="18"/>
              </w:rPr>
              <w:t xml:space="preserve">Data governance and provenance documentation</w:t>
            </w:r>
          </w:p>
          <w:p>
            <w:pPr>
              <w:spacing w:after="20" w:before="20"/>
            </w:pPr>
            <w:r>
              <w:rPr>
                <w:rFonts w:ascii="Arial" w:cs="Arial" w:eastAsia="Arial" w:hAnsi="Arial"/>
                <w:color w:val="1A1A1A"/>
                <w:sz w:val="18"/>
                <w:szCs w:val="18"/>
              </w:rPr>
              <w:t xml:space="preserve">Dataset curation, cleaning, and annotation</w:t>
            </w:r>
          </w:p>
          <w:p>
            <w:pPr>
              <w:spacing w:after="20" w:before="20"/>
            </w:pPr>
            <w:r>
              <w:rPr>
                <w:rFonts w:ascii="Arial" w:cs="Arial" w:eastAsia="Arial" w:hAnsi="Arial"/>
                <w:color w:val="1A1A1A"/>
                <w:sz w:val="18"/>
                <w:szCs w:val="18"/>
              </w:rPr>
              <w:t xml:space="preserve">Train / validation / test split strategy</w:t>
            </w:r>
          </w:p>
          <w:p>
            <w:pPr>
              <w:spacing w:after="20" w:before="20"/>
            </w:pPr>
            <w:r>
              <w:rPr>
                <w:rFonts w:ascii="Arial" w:cs="Arial" w:eastAsia="Arial" w:hAnsi="Arial"/>
                <w:color w:val="1A1A1A"/>
                <w:sz w:val="18"/>
                <w:szCs w:val="18"/>
              </w:rPr>
              <w:t xml:space="preserve">Bias assessment and representativeness analysis</w:t>
            </w:r>
          </w:p>
          <w:p>
            <w:pPr>
              <w:spacing w:after="20" w:before="20"/>
            </w:pPr>
            <w:r>
              <w:rPr>
                <w:rFonts w:ascii="Arial" w:cs="Arial" w:eastAsia="Arial" w:hAnsi="Arial"/>
                <w:color w:val="1A1A1A"/>
                <w:sz w:val="18"/>
                <w:szCs w:val="18"/>
              </w:rPr>
              <w:t xml:space="preserve">De-identification and data protection compliance</w:t>
            </w:r>
          </w:p>
          <w:p>
            <w:pPr>
              <w:spacing w:after="20" w:before="20"/>
            </w:pPr>
            <w:r>
              <w:rPr>
                <w:rFonts w:ascii="Arial" w:cs="Arial" w:eastAsia="Arial" w:hAnsi="Arial"/>
                <w:color w:val="1A1A1A"/>
                <w:sz w:val="18"/>
                <w:szCs w:val="18"/>
              </w:rPr>
              <w:t xml:space="preserve">Data lineage documentation for regulatory submission</w:t>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5.1  Data Governance</w:t>
      </w:r>
    </w:p>
    <w:p>
      <w:pPr>
        <w:spacing w:after="80" w:before="40"/>
      </w:pPr>
      <w:r>
        <w:rPr>
          <w:rFonts w:ascii="Arial" w:cs="Arial" w:eastAsia="Arial" w:hAnsi="Arial"/>
          <w:sz w:val="20"/>
          <w:szCs w:val="20"/>
        </w:rPr>
        <w:t xml:space="preserve">EU AI Act Article 10 requires high-risk AI systems to be trained and tested on data meeting defined quality criteria. A Data Governance Plan shall be established before data collection begins and shall address:</w:t>
      </w:r>
    </w:p>
    <w:p>
      <w:pPr>
        <w:pStyle w:val="ListParagraph"/>
        <w:numPr>
          <w:ilvl w:val="0"/>
          <w:numId w:val="2"/>
        </w:numPr>
        <w:spacing w:after="40" w:before="20"/>
        <w:ind w:left="540" w:hanging="360"/>
      </w:pPr>
      <w:r>
        <w:rPr>
          <w:rFonts w:ascii="Arial" w:cs="Arial" w:eastAsia="Arial" w:hAnsi="Arial"/>
          <w:sz w:val="20"/>
          <w:szCs w:val="20"/>
        </w:rPr>
        <w:t xml:space="preserve">Data collection strategy: sources, collection methods, inclusion and exclusion criteria, and justification that data is representative of the intended patient population and clinical deployment context</w:t>
      </w:r>
    </w:p>
    <w:p>
      <w:pPr>
        <w:pStyle w:val="ListParagraph"/>
        <w:numPr>
          <w:ilvl w:val="0"/>
          <w:numId w:val="2"/>
        </w:numPr>
        <w:spacing w:after="40" w:before="20"/>
        <w:ind w:left="540" w:hanging="360"/>
      </w:pPr>
      <w:r>
        <w:rPr>
          <w:rFonts w:ascii="Arial" w:cs="Arial" w:eastAsia="Arial" w:hAnsi="Arial"/>
          <w:sz w:val="20"/>
          <w:szCs w:val="20"/>
        </w:rPr>
        <w:t xml:space="preserve">Annotation process: annotation methodology, annotator qualifications and training, inter-annotator agreement measurement, adjudication protocol for conflicting annotations</w:t>
      </w:r>
    </w:p>
    <w:p>
      <w:pPr>
        <w:pStyle w:val="ListParagraph"/>
        <w:numPr>
          <w:ilvl w:val="0"/>
          <w:numId w:val="2"/>
        </w:numPr>
        <w:spacing w:after="40" w:before="20"/>
        <w:ind w:left="540" w:hanging="360"/>
      </w:pPr>
      <w:r>
        <w:rPr>
          <w:rFonts w:ascii="Arial" w:cs="Arial" w:eastAsia="Arial" w:hAnsi="Arial"/>
          <w:sz w:val="20"/>
          <w:szCs w:val="20"/>
        </w:rPr>
        <w:t xml:space="preserve">Data quality requirements: completeness thresholds, acceptable missing data rates, image/signal quality standards, and quality control procedures</w:t>
      </w:r>
    </w:p>
    <w:p>
      <w:pPr>
        <w:pStyle w:val="ListParagraph"/>
        <w:numPr>
          <w:ilvl w:val="0"/>
          <w:numId w:val="2"/>
        </w:numPr>
        <w:spacing w:after="40" w:before="20"/>
        <w:ind w:left="540" w:hanging="360"/>
      </w:pPr>
      <w:r>
        <w:rPr>
          <w:rFonts w:ascii="Arial" w:cs="Arial" w:eastAsia="Arial" w:hAnsi="Arial"/>
          <w:sz w:val="20"/>
          <w:szCs w:val="20"/>
        </w:rPr>
        <w:t xml:space="preserve">Data version control: all datasets shall be versioned and archived. The exact dataset version used for each model training run shall be recorded and traceable in the model training record</w:t>
      </w:r>
    </w:p>
    <w:p>
      <w:pPr>
        <w:pStyle w:val="ListParagraph"/>
        <w:numPr>
          <w:ilvl w:val="0"/>
          <w:numId w:val="2"/>
        </w:numPr>
        <w:spacing w:after="40" w:before="20"/>
        <w:ind w:left="540" w:hanging="360"/>
      </w:pPr>
      <w:r>
        <w:rPr>
          <w:rFonts w:ascii="Arial" w:cs="Arial" w:eastAsia="Arial" w:hAnsi="Arial"/>
          <w:sz w:val="20"/>
          <w:szCs w:val="20"/>
        </w:rPr>
        <w:t xml:space="preserve">Data access controls: who can access training data, under what conditions, and with what audit trail</w:t>
      </w:r>
    </w:p>
    <w:p>
      <w:pPr>
        <w:pStyle w:val="ListParagraph"/>
        <w:numPr>
          <w:ilvl w:val="0"/>
          <w:numId w:val="2"/>
        </w:numPr>
        <w:spacing w:after="40" w:before="20"/>
        <w:ind w:left="540" w:hanging="360"/>
      </w:pPr>
      <w:r>
        <w:rPr>
          <w:rFonts w:ascii="Arial" w:cs="Arial" w:eastAsia="Arial" w:hAnsi="Arial"/>
          <w:sz w:val="20"/>
          <w:szCs w:val="20"/>
        </w:rPr>
        <w:t xml:space="preserve">Data retention and deletion: retention period, deletion procedures, and compliance with GDPR / applicable data protection law</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5.2  Representativeness and Bias Assessment</w:t>
      </w:r>
    </w:p>
    <w:p>
      <w:pPr>
        <w:spacing w:after="80" w:before="40"/>
      </w:pPr>
      <w:r>
        <w:rPr>
          <w:rFonts w:ascii="Arial" w:cs="Arial" w:eastAsia="Arial" w:hAnsi="Arial"/>
          <w:sz w:val="20"/>
          <w:szCs w:val="20"/>
        </w:rPr>
        <w:t xml:space="preserve">The training and evaluation datasets shall be assessed for demographic and clinical representativeness with respect to the intended patient population. The bias assessment shall:</w:t>
      </w:r>
    </w:p>
    <w:p>
      <w:pPr>
        <w:pStyle w:val="ListParagraph"/>
        <w:numPr>
          <w:ilvl w:val="0"/>
          <w:numId w:val="2"/>
        </w:numPr>
        <w:spacing w:after="40" w:before="20"/>
        <w:ind w:left="540" w:hanging="360"/>
      </w:pPr>
      <w:r>
        <w:rPr>
          <w:rFonts w:ascii="Arial" w:cs="Arial" w:eastAsia="Arial" w:hAnsi="Arial"/>
          <w:sz w:val="20"/>
          <w:szCs w:val="20"/>
        </w:rPr>
        <w:t xml:space="preserve">Document the demographic distribution of the dataset (age, sex, ethnicity, geographic origin, socioeconomic proxy indicators where data is available) and compare to the epidemiological distribution of the target patient population</w:t>
      </w:r>
    </w:p>
    <w:p>
      <w:pPr>
        <w:pStyle w:val="ListParagraph"/>
        <w:numPr>
          <w:ilvl w:val="0"/>
          <w:numId w:val="2"/>
        </w:numPr>
        <w:spacing w:after="40" w:before="20"/>
        <w:ind w:left="540" w:hanging="360"/>
      </w:pPr>
      <w:r>
        <w:rPr>
          <w:rFonts w:ascii="Arial" w:cs="Arial" w:eastAsia="Arial" w:hAnsi="Arial"/>
          <w:sz w:val="20"/>
          <w:szCs w:val="20"/>
        </w:rPr>
        <w:t xml:space="preserve">Identify and document known or potential sources of sampling bias, label bias, measurement bias, and historical bias in the dataset</w:t>
      </w:r>
    </w:p>
    <w:p>
      <w:pPr>
        <w:pStyle w:val="ListParagraph"/>
        <w:numPr>
          <w:ilvl w:val="0"/>
          <w:numId w:val="2"/>
        </w:numPr>
        <w:spacing w:after="40" w:before="20"/>
        <w:ind w:left="540" w:hanging="360"/>
      </w:pPr>
      <w:r>
        <w:rPr>
          <w:rFonts w:ascii="Arial" w:cs="Arial" w:eastAsia="Arial" w:hAnsi="Arial"/>
          <w:sz w:val="20"/>
          <w:szCs w:val="20"/>
        </w:rPr>
        <w:t xml:space="preserve">Define subgroup performance requirements and test whether the model meets those requirements across clinically relevant subgroups</w:t>
      </w:r>
    </w:p>
    <w:p>
      <w:pPr>
        <w:pStyle w:val="ListParagraph"/>
        <w:numPr>
          <w:ilvl w:val="0"/>
          <w:numId w:val="2"/>
        </w:numPr>
        <w:spacing w:after="40" w:before="20"/>
        <w:ind w:left="540" w:hanging="360"/>
      </w:pPr>
      <w:r>
        <w:rPr>
          <w:rFonts w:ascii="Arial" w:cs="Arial" w:eastAsia="Arial" w:hAnsi="Arial"/>
          <w:sz w:val="20"/>
          <w:szCs w:val="20"/>
        </w:rPr>
        <w:t xml:space="preserve">Document mitigation strategies for identified bias (data augmentation, re-sampling, algorithmic de-biasing) and evaluate their effectiveness</w:t>
      </w:r>
    </w:p>
    <w:p>
      <w:pPr>
        <w:pStyle w:val="ListParagraph"/>
        <w:numPr>
          <w:ilvl w:val="0"/>
          <w:numId w:val="2"/>
        </w:numPr>
        <w:spacing w:after="40" w:before="20"/>
        <w:ind w:left="540" w:hanging="360"/>
      </w:pPr>
      <w:r>
        <w:rPr>
          <w:rFonts w:ascii="Arial" w:cs="Arial" w:eastAsia="Arial" w:hAnsi="Arial"/>
          <w:sz w:val="20"/>
          <w:szCs w:val="20"/>
        </w:rPr>
        <w:t xml:space="preserve">Address the risk of perpetuating existing health disparities — does model performance systematically differ across protected characteristic groups in a clinically meaningful way?</w:t>
      </w:r>
    </w:p>
    <w:p>
      <w:pPr>
        <w:spacing w:after="80" w:before="0"/>
      </w:pPr>
    </w:p>
    <w:p>
      <w:pPr>
        <w:shd w:fill="F0E6FF" w:val="clear"/>
        <w:spacing w:after="80" w:before="40"/>
        <w:ind w:left="360"/>
      </w:pPr>
      <w:r>
        <w:rPr>
          <w:rFonts w:ascii="Arial" w:cs="Arial" w:eastAsia="Arial" w:hAnsi="Arial"/>
          <w:b/>
          <w:bCs/>
          <w:color w:val="4B0082"/>
          <w:sz w:val="18"/>
          <w:szCs w:val="18"/>
        </w:rPr>
        <w:t xml:space="preserve">AI-SPECIFIC: </w:t>
      </w:r>
      <w:r>
        <w:rPr>
          <w:rFonts w:ascii="Arial" w:cs="Arial" w:eastAsia="Arial" w:hAnsi="Arial"/>
          <w:color w:val="4B0082"/>
          <w:sz w:val="18"/>
          <w:szCs w:val="18"/>
        </w:rPr>
        <w:t xml:space="preserve">Bias in training data propagates to model outputs and constitutes a patient safety risk under ISO 14971 as well as an EU AI Act Article 10 compliance requirement. The bias assessment is not a one-time activity: bias must be monitored post-deployment as the population using the device may differ from the training population.</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5.3  Dataset Splitting</w:t>
      </w:r>
    </w:p>
    <w:p>
      <w:pPr>
        <w:spacing w:after="80" w:before="40"/>
      </w:pPr>
      <w:r>
        <w:rPr>
          <w:rFonts w:ascii="Arial" w:cs="Arial" w:eastAsia="Arial" w:hAnsi="Arial"/>
          <w:sz w:val="20"/>
          <w:szCs w:val="20"/>
        </w:rPr>
        <w:t xml:space="preserve">Training, validation, and test datasets shall be split in a manner that prevents data leakage between splits and ensures the test set is a genuinely independent evaluation of generalisation performance. The splitting strategy shall:</w:t>
      </w:r>
    </w:p>
    <w:p>
      <w:pPr>
        <w:pStyle w:val="ListParagraph"/>
        <w:numPr>
          <w:ilvl w:val="0"/>
          <w:numId w:val="2"/>
        </w:numPr>
        <w:spacing w:after="40" w:before="20"/>
        <w:ind w:left="540" w:hanging="360"/>
      </w:pPr>
      <w:r>
        <w:rPr>
          <w:rFonts w:ascii="Arial" w:cs="Arial" w:eastAsia="Arial" w:hAnsi="Arial"/>
          <w:sz w:val="20"/>
          <w:szCs w:val="20"/>
        </w:rPr>
        <w:t xml:space="preserve">Be defined before model training begins and documented in the AI Development Plan</w:t>
      </w:r>
    </w:p>
    <w:p>
      <w:pPr>
        <w:pStyle w:val="ListParagraph"/>
        <w:numPr>
          <w:ilvl w:val="0"/>
          <w:numId w:val="2"/>
        </w:numPr>
        <w:spacing w:after="40" w:before="20"/>
        <w:ind w:left="540" w:hanging="360"/>
      </w:pPr>
      <w:r>
        <w:rPr>
          <w:rFonts w:ascii="Arial" w:cs="Arial" w:eastAsia="Arial" w:hAnsi="Arial"/>
          <w:sz w:val="20"/>
          <w:szCs w:val="20"/>
        </w:rPr>
        <w:t xml:space="preserve">Prevent patient-level leakage: all images, records, or samples from a single patient shall appear in only one split</w:t>
      </w:r>
    </w:p>
    <w:p>
      <w:pPr>
        <w:pStyle w:val="ListParagraph"/>
        <w:numPr>
          <w:ilvl w:val="0"/>
          <w:numId w:val="2"/>
        </w:numPr>
        <w:spacing w:after="40" w:before="20"/>
        <w:ind w:left="540" w:hanging="360"/>
      </w:pPr>
      <w:r>
        <w:rPr>
          <w:rFonts w:ascii="Arial" w:cs="Arial" w:eastAsia="Arial" w:hAnsi="Arial"/>
          <w:sz w:val="20"/>
          <w:szCs w:val="20"/>
        </w:rPr>
        <w:t xml:space="preserve">Apply site-level or scanner-level stratification where the dataset includes data from multiple acquisition sites or device models, to prevent performance inflation from scanner-specific artefacts</w:t>
      </w:r>
    </w:p>
    <w:p>
      <w:pPr>
        <w:pStyle w:val="ListParagraph"/>
        <w:numPr>
          <w:ilvl w:val="0"/>
          <w:numId w:val="2"/>
        </w:numPr>
        <w:spacing w:after="40" w:before="20"/>
        <w:ind w:left="540" w:hanging="360"/>
      </w:pPr>
      <w:r>
        <w:rPr>
          <w:rFonts w:ascii="Arial" w:cs="Arial" w:eastAsia="Arial" w:hAnsi="Arial"/>
          <w:sz w:val="20"/>
          <w:szCs w:val="20"/>
        </w:rPr>
        <w:t xml:space="preserve">Ensure demographic stratification of the test set to support subgroup performance analysis</w:t>
      </w:r>
    </w:p>
    <w:p>
      <w:pPr>
        <w:pStyle w:val="ListParagraph"/>
        <w:numPr>
          <w:ilvl w:val="0"/>
          <w:numId w:val="2"/>
        </w:numPr>
        <w:spacing w:after="40" w:before="20"/>
        <w:ind w:left="540" w:hanging="360"/>
      </w:pPr>
      <w:r>
        <w:rPr>
          <w:rFonts w:ascii="Arial" w:cs="Arial" w:eastAsia="Arial" w:hAnsi="Arial"/>
          <w:sz w:val="20"/>
          <w:szCs w:val="20"/>
        </w:rPr>
        <w:t xml:space="preserve">For prospective or locked external test sets: document the process for keeping the test set locked and independent throughout development</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5.4  Data Protection and De-identification</w:t>
      </w:r>
    </w:p>
    <w:p>
      <w:pPr>
        <w:spacing w:after="80" w:before="40"/>
      </w:pPr>
      <w:r>
        <w:rPr>
          <w:rFonts w:ascii="Arial" w:cs="Arial" w:eastAsia="Arial" w:hAnsi="Arial"/>
          <w:sz w:val="20"/>
          <w:szCs w:val="20"/>
        </w:rPr>
        <w:t xml:space="preserve">All personal health data used in AI development shall be processed in compliance with GDPR (EU) and applicable national data protection legislation. De-identification or pseudonymisation shall be applied in accordance with documented procedures before data is used outside the clinical data custody environment. The basis for processing, consent status, and any research ethics approvals shall be documented in the Data Governance Plan.</w:t>
      </w:r>
    </w:p>
    <w:p>
      <w:r>
        <w:br w:type="page"/>
      </w:r>
    </w:p>
    <w:p>
      <w:pPr>
        <w:pStyle w:val="Heading1"/>
        <w:shd w:fill="1A5C5C" w:val="clear"/>
        <w:spacing w:after="100" w:before="200"/>
        <w:ind w:left="120"/>
      </w:pPr>
      <w:r>
        <w:rPr>
          <w:rFonts w:ascii="Arial" w:cs="Arial" w:eastAsia="Arial" w:hAnsi="Arial"/>
          <w:b/>
          <w:bCs/>
          <w:color w:val="FFFFFF"/>
          <w:sz w:val="28"/>
          <w:szCs w:val="28"/>
        </w:rPr>
        <w:t xml:space="preserve">6.  PHASE 3 — MODEL DEVELOPMENT</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120"/>
        <w:gridCol w:w="7517"/>
      </w:tblGrid>
      <w:tr>
        <w:tc>
          <w:tcPr>
            <w:tcW w:type="dxa" w:w="2120"/>
            <w:gridSpan w:val="1"/>
            <w:tcBorders>
              <w:top w:val="none" w:color="FFFFFF" w:sz="0"/>
              <w:left w:val="none" w:color="FFFFFF" w:sz="0"/>
              <w:bottom w:val="none" w:color="FFFFFF" w:sz="0"/>
              <w:right w:val="none" w:color="FFFFFF" w:sz="0"/>
            </w:tcBorders>
            <w:shd w:fill="1A5C5C" w:val="clear"/>
            <w:tcMar>
              <w:top w:type="dxa" w:w="80"/>
              <w:left w:type="dxa" w:w="150"/>
              <w:bottom w:type="dxa" w:w="80"/>
              <w:right w:type="dxa" w:w="150"/>
            </w:tcMar>
          </w:tcPr>
          <w:p>
            <w:pPr>
              <w:spacing w:after="40"/>
            </w:pPr>
            <w:r>
              <w:rPr>
                <w:rFonts w:ascii="Arial" w:cs="Arial" w:eastAsia="Arial" w:hAnsi="Arial"/>
                <w:b/>
                <w:bCs/>
                <w:color w:val="D6EEEE"/>
                <w:sz w:val="18"/>
                <w:szCs w:val="18"/>
              </w:rPr>
              <w:t xml:space="preserve">Phase 3</w:t>
            </w:r>
          </w:p>
          <w:p>
            <w:r>
              <w:rPr>
                <w:rFonts w:ascii="Arial" w:cs="Arial" w:eastAsia="Arial" w:hAnsi="Arial"/>
                <w:b/>
                <w:bCs/>
                <w:color w:val="FFFFFF"/>
                <w:sz w:val="22"/>
                <w:szCs w:val="22"/>
              </w:rPr>
              <w:t xml:space="preserve">Model Development</w:t>
            </w:r>
          </w:p>
        </w:tc>
        <w:tc>
          <w:tcPr>
            <w:tcW w:type="dxa" w:w="7517"/>
            <w:gridSpan w:val="1"/>
            <w:tcBorders>
              <w:top w:val="none" w:color="FFFFFF" w:sz="0"/>
              <w:left w:val="none" w:color="FFFFFF" w:sz="0"/>
              <w:bottom w:val="none" w:color="FFFFFF" w:sz="0"/>
              <w:right w:val="none" w:color="FFFFFF" w:sz="0"/>
            </w:tcBorders>
            <w:shd w:fill="D6EEEE" w:val="clear"/>
            <w:tcMar>
              <w:top w:type="dxa" w:w="80"/>
              <w:left w:type="dxa" w:w="150"/>
              <w:bottom w:type="dxa" w:w="80"/>
              <w:right w:type="dxa" w:w="150"/>
            </w:tcMar>
          </w:tcPr>
          <w:p>
            <w:pPr>
              <w:spacing w:after="20" w:before="20"/>
            </w:pPr>
            <w:r>
              <w:rPr>
                <w:rFonts w:ascii="Arial" w:cs="Arial" w:eastAsia="Arial" w:hAnsi="Arial"/>
                <w:color w:val="1A1A1A"/>
                <w:sz w:val="18"/>
                <w:szCs w:val="18"/>
              </w:rPr>
              <w:t xml:space="preserve">Algorithm selection and justification</w:t>
            </w:r>
          </w:p>
          <w:p>
            <w:pPr>
              <w:spacing w:after="20" w:before="20"/>
            </w:pPr>
            <w:r>
              <w:rPr>
                <w:rFonts w:ascii="Arial" w:cs="Arial" w:eastAsia="Arial" w:hAnsi="Arial"/>
                <w:color w:val="1A1A1A"/>
                <w:sz w:val="18"/>
                <w:szCs w:val="18"/>
              </w:rPr>
              <w:t xml:space="preserve">Feature engineering and input preprocessing</w:t>
            </w:r>
          </w:p>
          <w:p>
            <w:pPr>
              <w:spacing w:after="20" w:before="20"/>
            </w:pPr>
            <w:r>
              <w:rPr>
                <w:rFonts w:ascii="Arial" w:cs="Arial" w:eastAsia="Arial" w:hAnsi="Arial"/>
                <w:color w:val="1A1A1A"/>
                <w:sz w:val="18"/>
                <w:szCs w:val="18"/>
              </w:rPr>
              <w:t xml:space="preserve">Model architecture documentation</w:t>
            </w:r>
          </w:p>
          <w:p>
            <w:pPr>
              <w:spacing w:after="20" w:before="20"/>
            </w:pPr>
            <w:r>
              <w:rPr>
                <w:rFonts w:ascii="Arial" w:cs="Arial" w:eastAsia="Arial" w:hAnsi="Arial"/>
                <w:color w:val="1A1A1A"/>
                <w:sz w:val="18"/>
                <w:szCs w:val="18"/>
              </w:rPr>
              <w:t xml:space="preserve">Training process documentation</w:t>
            </w:r>
          </w:p>
          <w:p>
            <w:pPr>
              <w:spacing w:after="20" w:before="20"/>
            </w:pPr>
            <w:r>
              <w:rPr>
                <w:rFonts w:ascii="Arial" w:cs="Arial" w:eastAsia="Arial" w:hAnsi="Arial"/>
                <w:color w:val="1A1A1A"/>
                <w:sz w:val="18"/>
                <w:szCs w:val="18"/>
              </w:rPr>
              <w:t xml:space="preserve">Hyperparameter optimisation with leakage prevention</w:t>
            </w:r>
          </w:p>
          <w:p>
            <w:pPr>
              <w:spacing w:after="20" w:before="20"/>
            </w:pPr>
            <w:r>
              <w:rPr>
                <w:rFonts w:ascii="Arial" w:cs="Arial" w:eastAsia="Arial" w:hAnsi="Arial"/>
                <w:color w:val="1A1A1A"/>
                <w:sz w:val="18"/>
                <w:szCs w:val="18"/>
              </w:rPr>
              <w:t xml:space="preserve">Model versioning and reproducibility</w:t>
            </w:r>
          </w:p>
          <w:p>
            <w:pPr>
              <w:spacing w:after="20" w:before="20"/>
            </w:pPr>
            <w:r>
              <w:rPr>
                <w:rFonts w:ascii="Arial" w:cs="Arial" w:eastAsia="Arial" w:hAnsi="Arial"/>
                <w:color w:val="1A1A1A"/>
                <w:sz w:val="18"/>
                <w:szCs w:val="18"/>
              </w:rPr>
              <w:t xml:space="preserve">Third-party model (SOUP) assessment</w:t>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6.1  Algorithm Selection and Architecture</w:t>
      </w:r>
    </w:p>
    <w:p>
      <w:pPr>
        <w:spacing w:after="80" w:before="40"/>
      </w:pPr>
      <w:r>
        <w:rPr>
          <w:rFonts w:ascii="Arial" w:cs="Arial" w:eastAsia="Arial" w:hAnsi="Arial"/>
          <w:sz w:val="20"/>
          <w:szCs w:val="20"/>
        </w:rPr>
        <w:t xml:space="preserve">The choice of AI algorithm and model architecture shall be documented and justified with reference to the intended use, the nature of the input data, the required output type, interpretability requirements, and computational constraints of the deployment platform. The Architecture Document shall include:</w:t>
      </w:r>
    </w:p>
    <w:p>
      <w:pPr>
        <w:pStyle w:val="ListParagraph"/>
        <w:numPr>
          <w:ilvl w:val="0"/>
          <w:numId w:val="2"/>
        </w:numPr>
        <w:spacing w:after="40" w:before="20"/>
        <w:ind w:left="540" w:hanging="360"/>
      </w:pPr>
      <w:r>
        <w:rPr>
          <w:rFonts w:ascii="Arial" w:cs="Arial" w:eastAsia="Arial" w:hAnsi="Arial"/>
          <w:sz w:val="20"/>
          <w:szCs w:val="20"/>
        </w:rPr>
        <w:t xml:space="preserve">Model type and architecture (e.g. convolutional neural network, transformer, ensemble, gradient boosting) with version references for frameworks and libraries</w:t>
      </w:r>
    </w:p>
    <w:p>
      <w:pPr>
        <w:pStyle w:val="ListParagraph"/>
        <w:numPr>
          <w:ilvl w:val="0"/>
          <w:numId w:val="2"/>
        </w:numPr>
        <w:spacing w:after="40" w:before="20"/>
        <w:ind w:left="540" w:hanging="360"/>
      </w:pPr>
      <w:r>
        <w:rPr>
          <w:rFonts w:ascii="Arial" w:cs="Arial" w:eastAsia="Arial" w:hAnsi="Arial"/>
          <w:sz w:val="20"/>
          <w:szCs w:val="20"/>
        </w:rPr>
        <w:t xml:space="preserve">Input data schema: data type, dimensions, preprocessing steps, normalisation approach</w:t>
      </w:r>
    </w:p>
    <w:p>
      <w:pPr>
        <w:pStyle w:val="ListParagraph"/>
        <w:numPr>
          <w:ilvl w:val="0"/>
          <w:numId w:val="2"/>
        </w:numPr>
        <w:spacing w:after="40" w:before="20"/>
        <w:ind w:left="540" w:hanging="360"/>
      </w:pPr>
      <w:r>
        <w:rPr>
          <w:rFonts w:ascii="Arial" w:cs="Arial" w:eastAsia="Arial" w:hAnsi="Arial"/>
          <w:sz w:val="20"/>
          <w:szCs w:val="20"/>
        </w:rPr>
        <w:t xml:space="preserve">Output schema: output type (class probability, regression value, segmentation mask), confidence/uncertainty representation, and clinical interpretation guidance</w:t>
      </w:r>
    </w:p>
    <w:p>
      <w:pPr>
        <w:pStyle w:val="ListParagraph"/>
        <w:numPr>
          <w:ilvl w:val="0"/>
          <w:numId w:val="2"/>
        </w:numPr>
        <w:spacing w:after="40" w:before="20"/>
        <w:ind w:left="540" w:hanging="360"/>
      </w:pPr>
      <w:r>
        <w:rPr>
          <w:rFonts w:ascii="Arial" w:cs="Arial" w:eastAsia="Arial" w:hAnsi="Arial"/>
          <w:sz w:val="20"/>
          <w:szCs w:val="20"/>
        </w:rPr>
        <w:t xml:space="preserve">For transformer or large language model architectures: context window limitations, tokenisation scheme, and known failure modes with clinical data</w:t>
      </w:r>
    </w:p>
    <w:p>
      <w:pPr>
        <w:pStyle w:val="ListParagraph"/>
        <w:numPr>
          <w:ilvl w:val="0"/>
          <w:numId w:val="2"/>
        </w:numPr>
        <w:spacing w:after="40" w:before="20"/>
        <w:ind w:left="540" w:hanging="360"/>
      </w:pPr>
      <w:r>
        <w:rPr>
          <w:rFonts w:ascii="Arial" w:cs="Arial" w:eastAsia="Arial" w:hAnsi="Arial"/>
          <w:sz w:val="20"/>
          <w:szCs w:val="20"/>
        </w:rPr>
        <w:t xml:space="preserve">Justification for architecture choice relative to alternatives, particularly where interpretability has been traded for performance</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6.2  Training Process Documentation</w:t>
      </w:r>
    </w:p>
    <w:p>
      <w:pPr>
        <w:spacing w:after="80" w:before="40"/>
      </w:pPr>
      <w:r>
        <w:rPr>
          <w:rFonts w:ascii="Arial" w:cs="Arial" w:eastAsia="Arial" w:hAnsi="Arial"/>
          <w:sz w:val="20"/>
          <w:szCs w:val="20"/>
        </w:rPr>
        <w:t xml:space="preserve">Each training run shall produce a Training Record that enables full reproducibility and supports regulatory audit. The Training Record shall document:</w:t>
      </w:r>
    </w:p>
    <w:p>
      <w:pPr>
        <w:pStyle w:val="ListParagraph"/>
        <w:numPr>
          <w:ilvl w:val="0"/>
          <w:numId w:val="2"/>
        </w:numPr>
        <w:spacing w:after="40" w:before="20"/>
        <w:ind w:left="540" w:hanging="360"/>
      </w:pPr>
      <w:r>
        <w:rPr>
          <w:rFonts w:ascii="Arial" w:cs="Arial" w:eastAsia="Arial" w:hAnsi="Arial"/>
          <w:sz w:val="20"/>
          <w:szCs w:val="20"/>
        </w:rPr>
        <w:t xml:space="preserve">Dataset version and split used, with data lineage reference</w:t>
      </w:r>
    </w:p>
    <w:p>
      <w:pPr>
        <w:pStyle w:val="ListParagraph"/>
        <w:numPr>
          <w:ilvl w:val="0"/>
          <w:numId w:val="2"/>
        </w:numPr>
        <w:spacing w:after="40" w:before="20"/>
        <w:ind w:left="540" w:hanging="360"/>
      </w:pPr>
      <w:r>
        <w:rPr>
          <w:rFonts w:ascii="Arial" w:cs="Arial" w:eastAsia="Arial" w:hAnsi="Arial"/>
          <w:sz w:val="20"/>
          <w:szCs w:val="20"/>
        </w:rPr>
        <w:t xml:space="preserve">Training framework, version, and hardware environment</w:t>
      </w:r>
    </w:p>
    <w:p>
      <w:pPr>
        <w:pStyle w:val="ListParagraph"/>
        <w:numPr>
          <w:ilvl w:val="0"/>
          <w:numId w:val="2"/>
        </w:numPr>
        <w:spacing w:after="40" w:before="20"/>
        <w:ind w:left="540" w:hanging="360"/>
      </w:pPr>
      <w:r>
        <w:rPr>
          <w:rFonts w:ascii="Arial" w:cs="Arial" w:eastAsia="Arial" w:hAnsi="Arial"/>
          <w:sz w:val="20"/>
          <w:szCs w:val="20"/>
        </w:rPr>
        <w:t xml:space="preserve">Hyperparameters and their values, including learning rate schedule, batch size, regularisation parameters, and stopping criteria</w:t>
      </w:r>
    </w:p>
    <w:p>
      <w:pPr>
        <w:pStyle w:val="ListParagraph"/>
        <w:numPr>
          <w:ilvl w:val="0"/>
          <w:numId w:val="2"/>
        </w:numPr>
        <w:spacing w:after="40" w:before="20"/>
        <w:ind w:left="540" w:hanging="360"/>
      </w:pPr>
      <w:r>
        <w:rPr>
          <w:rFonts w:ascii="Arial" w:cs="Arial" w:eastAsia="Arial" w:hAnsi="Arial"/>
          <w:sz w:val="20"/>
          <w:szCs w:val="20"/>
        </w:rPr>
        <w:t xml:space="preserve">Random seeds used for reproducibility</w:t>
      </w:r>
    </w:p>
    <w:p>
      <w:pPr>
        <w:pStyle w:val="ListParagraph"/>
        <w:numPr>
          <w:ilvl w:val="0"/>
          <w:numId w:val="2"/>
        </w:numPr>
        <w:spacing w:after="40" w:before="20"/>
        <w:ind w:left="540" w:hanging="360"/>
      </w:pPr>
      <w:r>
        <w:rPr>
          <w:rFonts w:ascii="Arial" w:cs="Arial" w:eastAsia="Arial" w:hAnsi="Arial"/>
          <w:sz w:val="20"/>
          <w:szCs w:val="20"/>
        </w:rPr>
        <w:t xml:space="preserve">Training duration, convergence curves (loss and primary metric vs. epoch), and final training and validation performance</w:t>
      </w:r>
    </w:p>
    <w:p>
      <w:pPr>
        <w:pStyle w:val="ListParagraph"/>
        <w:numPr>
          <w:ilvl w:val="0"/>
          <w:numId w:val="2"/>
        </w:numPr>
        <w:spacing w:after="40" w:before="20"/>
        <w:ind w:left="540" w:hanging="360"/>
      </w:pPr>
      <w:r>
        <w:rPr>
          <w:rFonts w:ascii="Arial" w:cs="Arial" w:eastAsia="Arial" w:hAnsi="Arial"/>
          <w:sz w:val="20"/>
          <w:szCs w:val="20"/>
        </w:rPr>
        <w:t xml:space="preserve">Any data augmentation applied, with parameters</w:t>
      </w:r>
    </w:p>
    <w:p>
      <w:pPr>
        <w:pStyle w:val="ListParagraph"/>
        <w:numPr>
          <w:ilvl w:val="0"/>
          <w:numId w:val="2"/>
        </w:numPr>
        <w:spacing w:after="40" w:before="20"/>
        <w:ind w:left="540" w:hanging="360"/>
      </w:pPr>
      <w:r>
        <w:rPr>
          <w:rFonts w:ascii="Arial" w:cs="Arial" w:eastAsia="Arial" w:hAnsi="Arial"/>
          <w:sz w:val="20"/>
          <w:szCs w:val="20"/>
        </w:rPr>
        <w:t xml:space="preserve">Transfer learning source model reference, version, and provenance (SOUP assessment reference if externally sourced)</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6.3  Third-Party and Pre-Trained Model (SOUP) Assessment</w:t>
      </w:r>
    </w:p>
    <w:p>
      <w:pPr>
        <w:spacing w:after="80" w:before="40"/>
      </w:pPr>
      <w:r>
        <w:rPr>
          <w:rFonts w:ascii="Arial" w:cs="Arial" w:eastAsia="Arial" w:hAnsi="Arial"/>
          <w:sz w:val="20"/>
          <w:szCs w:val="20"/>
        </w:rPr>
        <w:t xml:space="preserve">Pre-trained models, foundation models, and externally sourced model weights incorporated into the AI system shall be treated as SOUP under IEC 62304 and assessed per SJL-SOP-SW-001 § 6.2. The SOUP assessment for AI models shall additionally address:</w:t>
      </w:r>
    </w:p>
    <w:p>
      <w:pPr>
        <w:pStyle w:val="ListParagraph"/>
        <w:numPr>
          <w:ilvl w:val="0"/>
          <w:numId w:val="2"/>
        </w:numPr>
        <w:spacing w:after="40" w:before="20"/>
        <w:ind w:left="540" w:hanging="360"/>
      </w:pPr>
      <w:r>
        <w:rPr>
          <w:rFonts w:ascii="Arial" w:cs="Arial" w:eastAsia="Arial" w:hAnsi="Arial"/>
          <w:sz w:val="20"/>
          <w:szCs w:val="20"/>
        </w:rPr>
        <w:t xml:space="preserve">Training data provenance: what data was the model trained on? Are there known biases, exclusions, or demographic gaps?</w:t>
      </w:r>
    </w:p>
    <w:p>
      <w:pPr>
        <w:pStyle w:val="ListParagraph"/>
        <w:numPr>
          <w:ilvl w:val="0"/>
          <w:numId w:val="2"/>
        </w:numPr>
        <w:spacing w:after="40" w:before="20"/>
        <w:ind w:left="540" w:hanging="360"/>
      </w:pPr>
      <w:r>
        <w:rPr>
          <w:rFonts w:ascii="Arial" w:cs="Arial" w:eastAsia="Arial" w:hAnsi="Arial"/>
          <w:sz w:val="20"/>
          <w:szCs w:val="20"/>
        </w:rPr>
        <w:t xml:space="preserve">Licence terms: does the licence permit commercial use in a regulated medical device context?</w:t>
      </w:r>
    </w:p>
    <w:p>
      <w:pPr>
        <w:pStyle w:val="ListParagraph"/>
        <w:numPr>
          <w:ilvl w:val="0"/>
          <w:numId w:val="2"/>
        </w:numPr>
        <w:spacing w:after="40" w:before="20"/>
        <w:ind w:left="540" w:hanging="360"/>
      </w:pPr>
      <w:r>
        <w:rPr>
          <w:rFonts w:ascii="Arial" w:cs="Arial" w:eastAsia="Arial" w:hAnsi="Arial"/>
          <w:sz w:val="20"/>
          <w:szCs w:val="20"/>
        </w:rPr>
        <w:t xml:space="preserve">Security posture: has the model been independently assessed for adversarial robustness? Are known attack techniques published against this model architecture?</w:t>
      </w:r>
    </w:p>
    <w:p>
      <w:pPr>
        <w:pStyle w:val="ListParagraph"/>
        <w:numPr>
          <w:ilvl w:val="0"/>
          <w:numId w:val="2"/>
        </w:numPr>
        <w:spacing w:after="40" w:before="20"/>
        <w:ind w:left="540" w:hanging="360"/>
      </w:pPr>
      <w:r>
        <w:rPr>
          <w:rFonts w:ascii="Arial" w:cs="Arial" w:eastAsia="Arial" w:hAnsi="Arial"/>
          <w:sz w:val="20"/>
          <w:szCs w:val="20"/>
        </w:rPr>
        <w:t xml:space="preserve">Vendor support: is the source organisation able and committed to providing security updates and performance maintenance?</w:t>
      </w:r>
    </w:p>
    <w:p>
      <w:pPr>
        <w:pStyle w:val="ListParagraph"/>
        <w:numPr>
          <w:ilvl w:val="0"/>
          <w:numId w:val="2"/>
        </w:numPr>
        <w:spacing w:after="40" w:before="20"/>
        <w:ind w:left="540" w:hanging="360"/>
      </w:pPr>
      <w:r>
        <w:rPr>
          <w:rFonts w:ascii="Arial" w:cs="Arial" w:eastAsia="Arial" w:hAnsi="Arial"/>
          <w:sz w:val="20"/>
          <w:szCs w:val="20"/>
        </w:rPr>
        <w:t xml:space="preserve">Fine-tuning requirements: if fine-tuning is applied, document the fine-tuning dataset, process, and evaluation results</w:t>
      </w:r>
    </w:p>
    <w:p>
      <w:pPr>
        <w:spacing w:after="80" w:before="0"/>
      </w:pPr>
    </w:p>
    <w:p>
      <w:pPr>
        <w:shd w:fill="FFF0F0" w:val="clear"/>
        <w:spacing w:after="80" w:before="40"/>
        <w:ind w:left="360"/>
      </w:pPr>
      <w:r>
        <w:rPr>
          <w:rFonts w:ascii="Arial" w:cs="Arial" w:eastAsia="Arial" w:hAnsi="Arial"/>
          <w:b/>
          <w:bCs/>
          <w:color w:val="C00000"/>
          <w:sz w:val="18"/>
          <w:szCs w:val="18"/>
        </w:rPr>
        <w:t xml:space="preserve">IMPORTANT: </w:t>
      </w:r>
      <w:r>
        <w:rPr>
          <w:rFonts w:ascii="Arial" w:cs="Arial" w:eastAsia="Arial" w:hAnsi="Arial"/>
          <w:color w:val="333333"/>
          <w:sz w:val="18"/>
          <w:szCs w:val="18"/>
        </w:rPr>
        <w:t xml:space="preserve">Community-contributed model weights from public repositories (e.g. Hugging Face model hub, GitHub, or similar) without documented training data provenance, licence clarity, or security assessment shall not be incorporated into production medical device software. Use of such models without documented SOUP assessment is a non-conformance under IEC 62304.</w:t>
      </w:r>
    </w:p>
    <w:p>
      <w:r>
        <w:br w:type="page"/>
      </w:r>
    </w:p>
    <w:p>
      <w:pPr>
        <w:pStyle w:val="Heading1"/>
        <w:shd w:fill="1A5C5C" w:val="clear"/>
        <w:spacing w:after="100" w:before="200"/>
        <w:ind w:left="120"/>
      </w:pPr>
      <w:r>
        <w:rPr>
          <w:rFonts w:ascii="Arial" w:cs="Arial" w:eastAsia="Arial" w:hAnsi="Arial"/>
          <w:b/>
          <w:bCs/>
          <w:color w:val="FFFFFF"/>
          <w:sz w:val="28"/>
          <w:szCs w:val="28"/>
        </w:rPr>
        <w:t xml:space="preserve">7.  PHASE 4 — MODEL EVALUATION AND VALIDATION</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120"/>
        <w:gridCol w:w="7517"/>
      </w:tblGrid>
      <w:tr>
        <w:tc>
          <w:tcPr>
            <w:tcW w:type="dxa" w:w="2120"/>
            <w:gridSpan w:val="1"/>
            <w:tcBorders>
              <w:top w:val="none" w:color="FFFFFF" w:sz="0"/>
              <w:left w:val="none" w:color="FFFFFF" w:sz="0"/>
              <w:bottom w:val="none" w:color="FFFFFF" w:sz="0"/>
              <w:right w:val="none" w:color="FFFFFF" w:sz="0"/>
            </w:tcBorders>
            <w:shd w:fill="1A5C5C" w:val="clear"/>
            <w:tcMar>
              <w:top w:type="dxa" w:w="80"/>
              <w:left w:type="dxa" w:w="150"/>
              <w:bottom w:type="dxa" w:w="80"/>
              <w:right w:type="dxa" w:w="150"/>
            </w:tcMar>
          </w:tcPr>
          <w:p>
            <w:pPr>
              <w:spacing w:after="40"/>
            </w:pPr>
            <w:r>
              <w:rPr>
                <w:rFonts w:ascii="Arial" w:cs="Arial" w:eastAsia="Arial" w:hAnsi="Arial"/>
                <w:b/>
                <w:bCs/>
                <w:color w:val="D6EEEE"/>
                <w:sz w:val="18"/>
                <w:szCs w:val="18"/>
              </w:rPr>
              <w:t xml:space="preserve">Phase 4</w:t>
            </w:r>
          </w:p>
          <w:p>
            <w:r>
              <w:rPr>
                <w:rFonts w:ascii="Arial" w:cs="Arial" w:eastAsia="Arial" w:hAnsi="Arial"/>
                <w:b/>
                <w:bCs/>
                <w:color w:val="FFFFFF"/>
                <w:sz w:val="22"/>
                <w:szCs w:val="22"/>
              </w:rPr>
              <w:t xml:space="preserve">Model Evaluation &amp; V&amp;V</w:t>
            </w:r>
          </w:p>
        </w:tc>
        <w:tc>
          <w:tcPr>
            <w:tcW w:type="dxa" w:w="7517"/>
            <w:gridSpan w:val="1"/>
            <w:tcBorders>
              <w:top w:val="none" w:color="FFFFFF" w:sz="0"/>
              <w:left w:val="none" w:color="FFFFFF" w:sz="0"/>
              <w:bottom w:val="none" w:color="FFFFFF" w:sz="0"/>
              <w:right w:val="none" w:color="FFFFFF" w:sz="0"/>
            </w:tcBorders>
            <w:shd w:fill="D6EEEE" w:val="clear"/>
            <w:tcMar>
              <w:top w:type="dxa" w:w="80"/>
              <w:left w:type="dxa" w:w="150"/>
              <w:bottom w:type="dxa" w:w="80"/>
              <w:right w:type="dxa" w:w="150"/>
            </w:tcMar>
          </w:tcPr>
          <w:p>
            <w:pPr>
              <w:spacing w:after="20" w:before="20"/>
            </w:pPr>
            <w:r>
              <w:rPr>
                <w:rFonts w:ascii="Arial" w:cs="Arial" w:eastAsia="Arial" w:hAnsi="Arial"/>
                <w:color w:val="1A1A1A"/>
                <w:sz w:val="18"/>
                <w:szCs w:val="18"/>
              </w:rPr>
              <w:t xml:space="preserve">Performance evaluation on locked test set</w:t>
            </w:r>
          </w:p>
          <w:p>
            <w:pPr>
              <w:spacing w:after="20" w:before="20"/>
            </w:pPr>
            <w:r>
              <w:rPr>
                <w:rFonts w:ascii="Arial" w:cs="Arial" w:eastAsia="Arial" w:hAnsi="Arial"/>
                <w:color w:val="1A1A1A"/>
                <w:sz w:val="18"/>
                <w:szCs w:val="18"/>
              </w:rPr>
              <w:t xml:space="preserve">Subgroup and bias analysis</w:t>
            </w:r>
          </w:p>
          <w:p>
            <w:pPr>
              <w:spacing w:after="20" w:before="20"/>
            </w:pPr>
            <w:r>
              <w:rPr>
                <w:rFonts w:ascii="Arial" w:cs="Arial" w:eastAsia="Arial" w:hAnsi="Arial"/>
                <w:color w:val="1A1A1A"/>
                <w:sz w:val="18"/>
                <w:szCs w:val="18"/>
              </w:rPr>
              <w:t xml:space="preserve">Adversarial robustness testing</w:t>
            </w:r>
          </w:p>
          <w:p>
            <w:pPr>
              <w:spacing w:after="20" w:before="20"/>
            </w:pPr>
            <w:r>
              <w:rPr>
                <w:rFonts w:ascii="Arial" w:cs="Arial" w:eastAsia="Arial" w:hAnsi="Arial"/>
                <w:color w:val="1A1A1A"/>
                <w:sz w:val="18"/>
                <w:szCs w:val="18"/>
              </w:rPr>
              <w:t xml:space="preserve">Clinical validation (where required)</w:t>
            </w:r>
          </w:p>
          <w:p>
            <w:pPr>
              <w:spacing w:after="20" w:before="20"/>
            </w:pPr>
            <w:r>
              <w:rPr>
                <w:rFonts w:ascii="Arial" w:cs="Arial" w:eastAsia="Arial" w:hAnsi="Arial"/>
                <w:color w:val="1A1A1A"/>
                <w:sz w:val="18"/>
                <w:szCs w:val="18"/>
              </w:rPr>
              <w:t xml:space="preserve">Statistical significance and confidence intervals</w:t>
            </w:r>
          </w:p>
          <w:p>
            <w:pPr>
              <w:spacing w:after="20" w:before="20"/>
            </w:pPr>
            <w:r>
              <w:rPr>
                <w:rFonts w:ascii="Arial" w:cs="Arial" w:eastAsia="Arial" w:hAnsi="Arial"/>
                <w:color w:val="1A1A1A"/>
                <w:sz w:val="18"/>
                <w:szCs w:val="18"/>
              </w:rPr>
              <w:t xml:space="preserve">Out-of-distribution performance assessment</w:t>
            </w:r>
          </w:p>
          <w:p>
            <w:pPr>
              <w:spacing w:after="20" w:before="20"/>
            </w:pPr>
            <w:r>
              <w:rPr>
                <w:rFonts w:ascii="Arial" w:cs="Arial" w:eastAsia="Arial" w:hAnsi="Arial"/>
                <w:color w:val="1A1A1A"/>
                <w:sz w:val="18"/>
                <w:szCs w:val="18"/>
              </w:rPr>
              <w:t xml:space="preserve">Comparison to predicate/standard of care</w:t>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7.1  Evaluation on Locked Test Set</w:t>
      </w:r>
    </w:p>
    <w:p>
      <w:pPr>
        <w:spacing w:after="80" w:before="40"/>
      </w:pPr>
      <w:r>
        <w:rPr>
          <w:rFonts w:ascii="Arial" w:cs="Arial" w:eastAsia="Arial" w:hAnsi="Arial"/>
          <w:sz w:val="20"/>
          <w:szCs w:val="20"/>
        </w:rPr>
        <w:t xml:space="preserve">Final model performance shall be evaluated on the locked, independent test set defined during data management planning. The evaluation shall be conducted once on the final model — iterative evaluation on the test set to guide development constitutes test set contamination and shall not occur. The Evaluation Report shall document:</w:t>
      </w:r>
    </w:p>
    <w:p>
      <w:pPr>
        <w:pStyle w:val="ListParagraph"/>
        <w:numPr>
          <w:ilvl w:val="0"/>
          <w:numId w:val="2"/>
        </w:numPr>
        <w:spacing w:after="40" w:before="20"/>
        <w:ind w:left="540" w:hanging="360"/>
      </w:pPr>
      <w:r>
        <w:rPr>
          <w:rFonts w:ascii="Arial" w:cs="Arial" w:eastAsia="Arial" w:hAnsi="Arial"/>
          <w:sz w:val="20"/>
          <w:szCs w:val="20"/>
        </w:rPr>
        <w:t xml:space="preserve">All primary and secondary performance metrics with point estimates and 95% confidence intervals</w:t>
      </w:r>
    </w:p>
    <w:p>
      <w:pPr>
        <w:pStyle w:val="ListParagraph"/>
        <w:numPr>
          <w:ilvl w:val="0"/>
          <w:numId w:val="2"/>
        </w:numPr>
        <w:spacing w:after="40" w:before="20"/>
        <w:ind w:left="540" w:hanging="360"/>
      </w:pPr>
      <w:r>
        <w:rPr>
          <w:rFonts w:ascii="Arial" w:cs="Arial" w:eastAsia="Arial" w:hAnsi="Arial"/>
          <w:sz w:val="20"/>
          <w:szCs w:val="20"/>
        </w:rPr>
        <w:t xml:space="preserve">Performance stratified by all pre-specified clinically relevant subgroups</w:t>
      </w:r>
    </w:p>
    <w:p>
      <w:pPr>
        <w:pStyle w:val="ListParagraph"/>
        <w:numPr>
          <w:ilvl w:val="0"/>
          <w:numId w:val="2"/>
        </w:numPr>
        <w:spacing w:after="40" w:before="20"/>
        <w:ind w:left="540" w:hanging="360"/>
      </w:pPr>
      <w:r>
        <w:rPr>
          <w:rFonts w:ascii="Arial" w:cs="Arial" w:eastAsia="Arial" w:hAnsi="Arial"/>
          <w:sz w:val="20"/>
          <w:szCs w:val="20"/>
        </w:rPr>
        <w:t xml:space="preserve">Failure analysis: characterise the cases in which the model fails. Are failure modes clinically interpretable? Are there systematic patterns to failures that suggest bias or out-of-distribution generalisation?</w:t>
      </w:r>
    </w:p>
    <w:p>
      <w:pPr>
        <w:pStyle w:val="ListParagraph"/>
        <w:numPr>
          <w:ilvl w:val="0"/>
          <w:numId w:val="2"/>
        </w:numPr>
        <w:spacing w:after="40" w:before="20"/>
        <w:ind w:left="540" w:hanging="360"/>
      </w:pPr>
      <w:r>
        <w:rPr>
          <w:rFonts w:ascii="Arial" w:cs="Arial" w:eastAsia="Arial" w:hAnsi="Arial"/>
          <w:sz w:val="20"/>
          <w:szCs w:val="20"/>
        </w:rPr>
        <w:t xml:space="preserve">Comparison to the clinical standard of care or predicate device performance where applicable</w:t>
      </w:r>
    </w:p>
    <w:p>
      <w:pPr>
        <w:pStyle w:val="ListParagraph"/>
        <w:numPr>
          <w:ilvl w:val="0"/>
          <w:numId w:val="2"/>
        </w:numPr>
        <w:spacing w:after="40" w:before="20"/>
        <w:ind w:left="540" w:hanging="360"/>
      </w:pPr>
      <w:r>
        <w:rPr>
          <w:rFonts w:ascii="Arial" w:cs="Arial" w:eastAsia="Arial" w:hAnsi="Arial"/>
          <w:sz w:val="20"/>
          <w:szCs w:val="20"/>
        </w:rPr>
        <w:t xml:space="preserve">Assessment of performance against all pre-specified acceptance criteria with pass/fail determination</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7.2  Adversarial and Out-of-Distribution Testing</w:t>
      </w:r>
    </w:p>
    <w:p>
      <w:pPr>
        <w:spacing w:after="80" w:before="40"/>
      </w:pPr>
      <w:r>
        <w:rPr>
          <w:rFonts w:ascii="Arial" w:cs="Arial" w:eastAsia="Arial" w:hAnsi="Arial"/>
          <w:sz w:val="20"/>
          <w:szCs w:val="20"/>
        </w:rPr>
        <w:t xml:space="preserve">AI models deployed in clinical environments will encounter inputs that differ from the training distribution. The following evaluations are required before release:</w:t>
      </w:r>
    </w:p>
    <w:p>
      <w:pPr>
        <w:pStyle w:val="ListParagraph"/>
        <w:numPr>
          <w:ilvl w:val="0"/>
          <w:numId w:val="2"/>
        </w:numPr>
        <w:spacing w:after="40" w:before="20"/>
        <w:ind w:left="540" w:hanging="360"/>
      </w:pPr>
      <w:r>
        <w:rPr>
          <w:rFonts w:ascii="Arial" w:cs="Arial" w:eastAsia="Arial" w:hAnsi="Arial"/>
          <w:sz w:val="20"/>
          <w:szCs w:val="20"/>
        </w:rPr>
        <w:t xml:space="preserve">Out-of-distribution detection: evaluate model behaviour on inputs from outside the intended use population or acquisition conditions. Does the model degrade gracefully or produce confident incorrect outputs?</w:t>
      </w:r>
    </w:p>
    <w:p>
      <w:pPr>
        <w:pStyle w:val="ListParagraph"/>
        <w:numPr>
          <w:ilvl w:val="0"/>
          <w:numId w:val="2"/>
        </w:numPr>
        <w:spacing w:after="40" w:before="20"/>
        <w:ind w:left="540" w:hanging="360"/>
      </w:pPr>
      <w:r>
        <w:rPr>
          <w:rFonts w:ascii="Arial" w:cs="Arial" w:eastAsia="Arial" w:hAnsi="Arial"/>
          <w:sz w:val="20"/>
          <w:szCs w:val="20"/>
        </w:rPr>
        <w:t xml:space="preserve">Adversarial input testing: evaluate robustness against adversarial perturbations appropriate to the input modality. For image-based AI: FGSM, PGD, or equivalent attacks. For text or structured data AI: input manipulation relevant to the clinical context.</w:t>
      </w:r>
    </w:p>
    <w:p>
      <w:pPr>
        <w:pStyle w:val="ListParagraph"/>
        <w:numPr>
          <w:ilvl w:val="0"/>
          <w:numId w:val="2"/>
        </w:numPr>
        <w:spacing w:after="40" w:before="20"/>
        <w:ind w:left="540" w:hanging="360"/>
      </w:pPr>
      <w:r>
        <w:rPr>
          <w:rFonts w:ascii="Arial" w:cs="Arial" w:eastAsia="Arial" w:hAnsi="Arial"/>
          <w:sz w:val="20"/>
          <w:szCs w:val="20"/>
        </w:rPr>
        <w:t xml:space="preserve">Edge case testing: evaluate performance on clinically meaningful edge cases including rare presentations, poor quality inputs, and cases representative of failure modes identified in post-market incident reports for comparable devices</w:t>
      </w:r>
    </w:p>
    <w:p>
      <w:pPr>
        <w:pStyle w:val="ListParagraph"/>
        <w:numPr>
          <w:ilvl w:val="0"/>
          <w:numId w:val="2"/>
        </w:numPr>
        <w:spacing w:after="40" w:before="20"/>
        <w:ind w:left="540" w:hanging="360"/>
      </w:pPr>
      <w:r>
        <w:rPr>
          <w:rFonts w:ascii="Arial" w:cs="Arial" w:eastAsia="Arial" w:hAnsi="Arial"/>
          <w:sz w:val="20"/>
          <w:szCs w:val="20"/>
        </w:rPr>
        <w:t xml:space="preserve">Data poisoning resilience (for models with post-market retraining capability): demonstrate that the training pipeline cannot be manipulated by adversarial data injection to degrade clinical performance</w:t>
      </w:r>
    </w:p>
    <w:p>
      <w:pPr>
        <w:spacing w:after="80" w:before="0"/>
      </w:pPr>
    </w:p>
    <w:p>
      <w:pPr>
        <w:shd w:fill="F0E6FF" w:val="clear"/>
        <w:spacing w:after="80" w:before="40"/>
        <w:ind w:left="360"/>
      </w:pPr>
      <w:r>
        <w:rPr>
          <w:rFonts w:ascii="Arial" w:cs="Arial" w:eastAsia="Arial" w:hAnsi="Arial"/>
          <w:b/>
          <w:bCs/>
          <w:color w:val="4B0082"/>
          <w:sz w:val="18"/>
          <w:szCs w:val="18"/>
        </w:rPr>
        <w:t xml:space="preserve">AI-SPECIFIC: </w:t>
      </w:r>
      <w:r>
        <w:rPr>
          <w:rFonts w:ascii="Arial" w:cs="Arial" w:eastAsia="Arial" w:hAnsi="Arial"/>
          <w:color w:val="4B0082"/>
          <w:sz w:val="18"/>
          <w:szCs w:val="18"/>
        </w:rPr>
        <w:t xml:space="preserve">Adversarial robustness testing is an AI-specific V&amp;V requirement that supplements conventional software testing. It shall be conducted by or under the supervision of personnel with AI security competency. Results shall be documented in the AI Security Assessment Report referenced in SJL-SOP-SEC-001 § 5.6.</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7.3  Clinical Validation</w:t>
      </w:r>
    </w:p>
    <w:p>
      <w:pPr>
        <w:spacing w:after="80" w:before="40"/>
      </w:pPr>
      <w:r>
        <w:rPr>
          <w:rFonts w:ascii="Arial" w:cs="Arial" w:eastAsia="Arial" w:hAnsi="Arial"/>
          <w:sz w:val="20"/>
          <w:szCs w:val="20"/>
        </w:rPr>
        <w:t xml:space="preserve">Where the AI device is intended to influence clinical decisions, clinical validation shall be conducted to demonstrate that the device produces clinically meaningful, safe, and effective outputs in the intended use context. Clinical validation requirements depend on device classification and intended use: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927"/>
        <w:gridCol w:w="3855"/>
        <w:gridCol w:w="3855"/>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MDR Class</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Clinical Validation Approach</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Regulatory Reference</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Class I (Rule 11 applicable)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Literature-based clinical evaluation; retrospective performance study</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EU MDR Art. 61; MDCG 2020-13</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Class IIa</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Prospective or retrospective clinical performance study; comparison to standard of care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EU MDR Art. 61; MDCG 2020-13; MDCG 2022-2</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Class IIb / III</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Prospective clinical investigation unless equivalence to predicate can be demonstrated; reader study design typical for diagnostic AI</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EU MDR Art. 61, 62; MDCG 2020-13; ISO 14155</w:t>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7.4  Explainability and Transparency Documentation</w:t>
      </w:r>
    </w:p>
    <w:p>
      <w:pPr>
        <w:spacing w:after="80" w:before="40"/>
      </w:pPr>
      <w:r>
        <w:rPr>
          <w:rFonts w:ascii="Arial" w:cs="Arial" w:eastAsia="Arial" w:hAnsi="Arial"/>
          <w:sz w:val="20"/>
          <w:szCs w:val="20"/>
        </w:rPr>
        <w:t xml:space="preserve">EU AI Act Article 13 requires high-risk AI systems to be sufficiently transparent that users can interpret outputs and use them appropriately. The following shall be documented:</w:t>
      </w:r>
    </w:p>
    <w:p>
      <w:pPr>
        <w:pStyle w:val="ListParagraph"/>
        <w:numPr>
          <w:ilvl w:val="0"/>
          <w:numId w:val="2"/>
        </w:numPr>
        <w:spacing w:after="40" w:before="20"/>
        <w:ind w:left="540" w:hanging="360"/>
      </w:pPr>
      <w:r>
        <w:rPr>
          <w:rFonts w:ascii="Arial" w:cs="Arial" w:eastAsia="Arial" w:hAnsi="Arial"/>
          <w:sz w:val="20"/>
          <w:szCs w:val="20"/>
        </w:rPr>
        <w:t xml:space="preserve">Model card: a standardised summary of the model's purpose, training data, performance metrics, known limitations, and intended use constraints</w:t>
      </w:r>
    </w:p>
    <w:p>
      <w:pPr>
        <w:pStyle w:val="ListParagraph"/>
        <w:numPr>
          <w:ilvl w:val="0"/>
          <w:numId w:val="2"/>
        </w:numPr>
        <w:spacing w:after="40" w:before="20"/>
        <w:ind w:left="540" w:hanging="360"/>
      </w:pPr>
      <w:r>
        <w:rPr>
          <w:rFonts w:ascii="Arial" w:cs="Arial" w:eastAsia="Arial" w:hAnsi="Arial"/>
          <w:sz w:val="20"/>
          <w:szCs w:val="20"/>
        </w:rPr>
        <w:t xml:space="preserve">Output explanation: how AI outputs are presented to clinical users, including confidence indicators, uncertainty quantification, and any attention map or saliency visualisation provided</w:t>
      </w:r>
    </w:p>
    <w:p>
      <w:pPr>
        <w:pStyle w:val="ListParagraph"/>
        <w:numPr>
          <w:ilvl w:val="0"/>
          <w:numId w:val="2"/>
        </w:numPr>
        <w:spacing w:after="40" w:before="20"/>
        <w:ind w:left="540" w:hanging="360"/>
      </w:pPr>
      <w:r>
        <w:rPr>
          <w:rFonts w:ascii="Arial" w:cs="Arial" w:eastAsia="Arial" w:hAnsi="Arial"/>
          <w:sz w:val="20"/>
          <w:szCs w:val="20"/>
        </w:rPr>
        <w:t xml:space="preserve">Limitation disclosure: documented in IFU — conditions under which AI performance degrades, populations excluded from intended use, and recommended clinical verification steps</w:t>
      </w:r>
    </w:p>
    <w:p>
      <w:pPr>
        <w:pStyle w:val="ListParagraph"/>
        <w:numPr>
          <w:ilvl w:val="0"/>
          <w:numId w:val="2"/>
        </w:numPr>
        <w:spacing w:after="40" w:before="20"/>
        <w:ind w:left="540" w:hanging="360"/>
      </w:pPr>
      <w:r>
        <w:rPr>
          <w:rFonts w:ascii="Arial" w:cs="Arial" w:eastAsia="Arial" w:hAnsi="Arial"/>
          <w:sz w:val="20"/>
          <w:szCs w:val="20"/>
        </w:rPr>
        <w:t xml:space="preserve">Interpretability assessment: for high-stakes decisions (treatment planning, critical diagnosis), evaluate whether the model architecture or explanation method supports adequate clinical interpretability</w:t>
      </w:r>
    </w:p>
    <w:p>
      <w:r>
        <w:br w:type="page"/>
      </w:r>
    </w:p>
    <w:p>
      <w:pPr>
        <w:pStyle w:val="Heading1"/>
        <w:shd w:fill="1A5C5C" w:val="clear"/>
        <w:spacing w:after="100" w:before="200"/>
        <w:ind w:left="120"/>
      </w:pPr>
      <w:r>
        <w:rPr>
          <w:rFonts w:ascii="Arial" w:cs="Arial" w:eastAsia="Arial" w:hAnsi="Arial"/>
          <w:b/>
          <w:bCs/>
          <w:color w:val="FFFFFF"/>
          <w:sz w:val="28"/>
          <w:szCs w:val="28"/>
        </w:rPr>
        <w:t xml:space="preserve">8.  PHASE 5 — SAFETY AND SECURITY ASSESSMENT</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120"/>
        <w:gridCol w:w="7517"/>
      </w:tblGrid>
      <w:tr>
        <w:tc>
          <w:tcPr>
            <w:tcW w:type="dxa" w:w="2120"/>
            <w:gridSpan w:val="1"/>
            <w:tcBorders>
              <w:top w:val="none" w:color="FFFFFF" w:sz="0"/>
              <w:left w:val="none" w:color="FFFFFF" w:sz="0"/>
              <w:bottom w:val="none" w:color="FFFFFF" w:sz="0"/>
              <w:right w:val="none" w:color="FFFFFF" w:sz="0"/>
            </w:tcBorders>
            <w:shd w:fill="1A5C5C" w:val="clear"/>
            <w:tcMar>
              <w:top w:type="dxa" w:w="80"/>
              <w:left w:type="dxa" w:w="150"/>
              <w:bottom w:type="dxa" w:w="80"/>
              <w:right w:type="dxa" w:w="150"/>
            </w:tcMar>
          </w:tcPr>
          <w:p>
            <w:pPr>
              <w:spacing w:after="40"/>
            </w:pPr>
            <w:r>
              <w:rPr>
                <w:rFonts w:ascii="Arial" w:cs="Arial" w:eastAsia="Arial" w:hAnsi="Arial"/>
                <w:b/>
                <w:bCs/>
                <w:color w:val="D6EEEE"/>
                <w:sz w:val="18"/>
                <w:szCs w:val="18"/>
              </w:rPr>
              <w:t xml:space="preserve">Phase 5</w:t>
            </w:r>
          </w:p>
          <w:p>
            <w:r>
              <w:rPr>
                <w:rFonts w:ascii="Arial" w:cs="Arial" w:eastAsia="Arial" w:hAnsi="Arial"/>
                <w:b/>
                <w:bCs/>
                <w:color w:val="FFFFFF"/>
                <w:sz w:val="22"/>
                <w:szCs w:val="22"/>
              </w:rPr>
              <w:t xml:space="preserve">Safety &amp; Security</w:t>
            </w:r>
          </w:p>
        </w:tc>
        <w:tc>
          <w:tcPr>
            <w:tcW w:type="dxa" w:w="7517"/>
            <w:gridSpan w:val="1"/>
            <w:tcBorders>
              <w:top w:val="none" w:color="FFFFFF" w:sz="0"/>
              <w:left w:val="none" w:color="FFFFFF" w:sz="0"/>
              <w:bottom w:val="none" w:color="FFFFFF" w:sz="0"/>
              <w:right w:val="none" w:color="FFFFFF" w:sz="0"/>
            </w:tcBorders>
            <w:shd w:fill="D6EEEE" w:val="clear"/>
            <w:tcMar>
              <w:top w:type="dxa" w:w="80"/>
              <w:left w:type="dxa" w:w="150"/>
              <w:bottom w:type="dxa" w:w="80"/>
              <w:right w:type="dxa" w:w="150"/>
            </w:tcMar>
          </w:tcPr>
          <w:p>
            <w:pPr>
              <w:spacing w:after="20" w:before="20"/>
            </w:pPr>
            <w:r>
              <w:rPr>
                <w:rFonts w:ascii="Arial" w:cs="Arial" w:eastAsia="Arial" w:hAnsi="Arial"/>
                <w:color w:val="1A1A1A"/>
                <w:sz w:val="18"/>
                <w:szCs w:val="18"/>
              </w:rPr>
              <w:t xml:space="preserve">ISO 14971 AI hazard integration</w:t>
            </w:r>
          </w:p>
          <w:p>
            <w:pPr>
              <w:spacing w:after="20" w:before="20"/>
            </w:pPr>
            <w:r>
              <w:rPr>
                <w:rFonts w:ascii="Arial" w:cs="Arial" w:eastAsia="Arial" w:hAnsi="Arial"/>
                <w:color w:val="1A1A1A"/>
                <w:sz w:val="18"/>
                <w:szCs w:val="18"/>
              </w:rPr>
              <w:t xml:space="preserve">AI-specific threat modelling (STRIDE-AI)</w:t>
            </w:r>
          </w:p>
          <w:p>
            <w:pPr>
              <w:spacing w:after="20" w:before="20"/>
            </w:pPr>
            <w:r>
              <w:rPr>
                <w:rFonts w:ascii="Arial" w:cs="Arial" w:eastAsia="Arial" w:hAnsi="Arial"/>
                <w:color w:val="1A1A1A"/>
                <w:sz w:val="18"/>
                <w:szCs w:val="18"/>
              </w:rPr>
              <w:t xml:space="preserve">Data pipeline security assessment</w:t>
            </w:r>
          </w:p>
          <w:p>
            <w:pPr>
              <w:spacing w:after="20" w:before="20"/>
            </w:pPr>
            <w:r>
              <w:rPr>
                <w:rFonts w:ascii="Arial" w:cs="Arial" w:eastAsia="Arial" w:hAnsi="Arial"/>
                <w:color w:val="1A1A1A"/>
                <w:sz w:val="18"/>
                <w:szCs w:val="18"/>
              </w:rPr>
              <w:t xml:space="preserve">Model supply chain integrity verification</w:t>
            </w:r>
          </w:p>
          <w:p>
            <w:pPr>
              <w:spacing w:after="20" w:before="20"/>
            </w:pPr>
            <w:r>
              <w:rPr>
                <w:rFonts w:ascii="Arial" w:cs="Arial" w:eastAsia="Arial" w:hAnsi="Arial"/>
                <w:color w:val="1A1A1A"/>
                <w:sz w:val="18"/>
                <w:szCs w:val="18"/>
              </w:rPr>
              <w:t xml:space="preserve">AI cybersecurity V&amp;V (adversarial, poisoning, evasion)</w:t>
            </w:r>
          </w:p>
          <w:p>
            <w:pPr>
              <w:spacing w:after="20" w:before="20"/>
            </w:pPr>
            <w:r>
              <w:rPr>
                <w:rFonts w:ascii="Arial" w:cs="Arial" w:eastAsia="Arial" w:hAnsi="Arial"/>
                <w:color w:val="1A1A1A"/>
                <w:sz w:val="18"/>
                <w:szCs w:val="18"/>
              </w:rPr>
              <w:t xml:space="preserve">Benefit-risk analysis for AI components</w:t>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8.1  ISO 14971 Integration for AI Components</w:t>
      </w:r>
    </w:p>
    <w:p>
      <w:pPr>
        <w:spacing w:after="80" w:before="40"/>
      </w:pPr>
      <w:r>
        <w:rPr>
          <w:rFonts w:ascii="Arial" w:cs="Arial" w:eastAsia="Arial" w:hAnsi="Arial"/>
          <w:sz w:val="20"/>
          <w:szCs w:val="20"/>
        </w:rPr>
        <w:t xml:space="preserve">AI-specific hazards shall be fully integrated into the ISO 14971 risk management file per SJL-SOP-RM-001. The following AI-specific hazard categories shall be assessed as a minimum:</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9"/>
        <w:gridCol w:w="3662"/>
        <w:gridCol w:w="3566"/>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Hazard Category</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Examples</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Risk Controls</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False positive / false negative outputs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Missed diagnosis, unnecessary treatment, incorrect risk stratification</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Performance thresholds; human oversight; clinical verification requirements documented in IFU</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Algorithmic bias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Systematically poorer performance for protected groups; health disparity amplification</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Bias assessment; subgroup performance requirements; representativeness monitoring post-deployment</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Model drift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Performance degradation as real-world data distribution shifts from training data</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Post-market performance monitoring; drift detection thresholds; CAPA triggers; PCCP update pathway</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Data poisoning</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Adversarial manipulation of training or inference data to degrade performance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Data integrity controls; input validation; anomaly detection on inference inputs; secure training pipeline</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Adversarial evasion</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Adversarial input perturbations causing misclassification not apparent to human review</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Adversarial robustness testing; anomaly detection; confidence threshold requirements</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Opacity and unexplainability</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Clinical user unable to verify AI reasoning; automation bias leading to uncritical acceptance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Human oversight requirements; explanation mechanisms; user training; IFU guidance on verification</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Third-party model compromise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Supply chain attack via compromised pre-trained model weights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SOUP assessment; model integrity verification; source vetting policy</w:t>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8.2  AI Threat Modelling</w:t>
      </w:r>
    </w:p>
    <w:p>
      <w:pPr>
        <w:spacing w:after="80" w:before="40"/>
      </w:pPr>
      <w:r>
        <w:rPr>
          <w:rFonts w:ascii="Arial" w:cs="Arial" w:eastAsia="Arial" w:hAnsi="Arial"/>
          <w:sz w:val="20"/>
          <w:szCs w:val="20"/>
        </w:rPr>
        <w:t xml:space="preserve">The standard STRIDE threat model (SJL-SOP-SEC-001 § 5.3) shall be extended with STRIDE-AI analysis covering the following AI-specific assets and threat categories:</w:t>
      </w:r>
    </w:p>
    <w:p>
      <w:pPr>
        <w:pStyle w:val="ListParagraph"/>
        <w:numPr>
          <w:ilvl w:val="0"/>
          <w:numId w:val="2"/>
        </w:numPr>
        <w:spacing w:after="40" w:before="20"/>
        <w:ind w:left="540" w:hanging="360"/>
      </w:pPr>
      <w:r>
        <w:rPr>
          <w:rFonts w:ascii="Arial" w:cs="Arial" w:eastAsia="Arial" w:hAnsi="Arial"/>
          <w:sz w:val="20"/>
          <w:szCs w:val="20"/>
        </w:rPr>
        <w:t xml:space="preserve">Training data pipeline: threats to data integrity, provenance, and confidentiality during collection, annotation, preprocessing, and storage</w:t>
      </w:r>
    </w:p>
    <w:p>
      <w:pPr>
        <w:pStyle w:val="ListParagraph"/>
        <w:numPr>
          <w:ilvl w:val="0"/>
          <w:numId w:val="2"/>
        </w:numPr>
        <w:spacing w:after="40" w:before="20"/>
        <w:ind w:left="540" w:hanging="360"/>
      </w:pPr>
      <w:r>
        <w:rPr>
          <w:rFonts w:ascii="Arial" w:cs="Arial" w:eastAsia="Arial" w:hAnsi="Arial"/>
          <w:sz w:val="20"/>
          <w:szCs w:val="20"/>
        </w:rPr>
        <w:t xml:space="preserve">Model weights and architecture: spoofing (substitution of model weights), tampering (adversarial modification of weights post-training), information disclosure (model inversion attacks)</w:t>
      </w:r>
    </w:p>
    <w:p>
      <w:pPr>
        <w:pStyle w:val="ListParagraph"/>
        <w:numPr>
          <w:ilvl w:val="0"/>
          <w:numId w:val="2"/>
        </w:numPr>
        <w:spacing w:after="40" w:before="20"/>
        <w:ind w:left="540" w:hanging="360"/>
      </w:pPr>
      <w:r>
        <w:rPr>
          <w:rFonts w:ascii="Arial" w:cs="Arial" w:eastAsia="Arial" w:hAnsi="Arial"/>
          <w:sz w:val="20"/>
          <w:szCs w:val="20"/>
        </w:rPr>
        <w:t xml:space="preserve">Inference pipeline: tampering (adversarial input injection), elevation of privilege (manipulating AI output to influence clinical access decisions), denial of service (computational resource exhaustion)</w:t>
      </w:r>
    </w:p>
    <w:p>
      <w:pPr>
        <w:pStyle w:val="ListParagraph"/>
        <w:numPr>
          <w:ilvl w:val="0"/>
          <w:numId w:val="2"/>
        </w:numPr>
        <w:spacing w:after="40" w:before="20"/>
        <w:ind w:left="540" w:hanging="360"/>
      </w:pPr>
      <w:r>
        <w:rPr>
          <w:rFonts w:ascii="Arial" w:cs="Arial" w:eastAsia="Arial" w:hAnsi="Arial"/>
          <w:sz w:val="20"/>
          <w:szCs w:val="20"/>
        </w:rPr>
        <w:t xml:space="preserve">Feedback and retraining pipeline: tampering (poisoning data fed back into retraining), repudiation (inability to audit model updates)</w:t>
      </w:r>
    </w:p>
    <w:p>
      <w:pPr>
        <w:pStyle w:val="ListParagraph"/>
        <w:numPr>
          <w:ilvl w:val="0"/>
          <w:numId w:val="2"/>
        </w:numPr>
        <w:spacing w:after="40" w:before="20"/>
        <w:ind w:left="540" w:hanging="360"/>
      </w:pPr>
      <w:r>
        <w:rPr>
          <w:rFonts w:ascii="Arial" w:cs="Arial" w:eastAsia="Arial" w:hAnsi="Arial"/>
          <w:sz w:val="20"/>
          <w:szCs w:val="20"/>
        </w:rPr>
        <w:t xml:space="preserve">Agentic AI components (where present): prompt injection, context poisoning, unsafe tool invocation, and reasoning subversion per ASTRIDE framework</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8.3  Benefit-Risk Analysis for AI</w:t>
      </w:r>
    </w:p>
    <w:p>
      <w:pPr>
        <w:spacing w:after="80" w:before="40"/>
      </w:pPr>
      <w:r>
        <w:rPr>
          <w:rFonts w:ascii="Arial" w:cs="Arial" w:eastAsia="Arial" w:hAnsi="Arial"/>
          <w:sz w:val="20"/>
          <w:szCs w:val="20"/>
        </w:rPr>
        <w:t xml:space="preserve">The benefit-risk analysis under ISO 14971 shall explicitly address the trade-offs introduced by AI components. Where AI performance introduces residual risks (e.g. irreducible false negative rate in a screening application), the analysis shall demonstrate that the clinical benefit of the AI component justifies those residual risks relative to the alternative of not using AI or using conventional decision support. The analysis shall be reviewed whenever the AI model changes materially.</w:t>
      </w:r>
    </w:p>
    <w:p>
      <w:r>
        <w:br w:type="page"/>
      </w:r>
    </w:p>
    <w:p>
      <w:pPr>
        <w:pStyle w:val="Heading1"/>
        <w:shd w:fill="1A5C5C" w:val="clear"/>
        <w:spacing w:after="100" w:before="200"/>
        <w:ind w:left="120"/>
      </w:pPr>
      <w:r>
        <w:rPr>
          <w:rFonts w:ascii="Arial" w:cs="Arial" w:eastAsia="Arial" w:hAnsi="Arial"/>
          <w:b/>
          <w:bCs/>
          <w:color w:val="FFFFFF"/>
          <w:sz w:val="28"/>
          <w:szCs w:val="28"/>
        </w:rPr>
        <w:t xml:space="preserve">9.  PHASE 6 — REGULATORY SUBMISSION PREPARATION</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9.1  EU MDR / AI Act Technical Documentation</w:t>
      </w:r>
    </w:p>
    <w:p>
      <w:pPr>
        <w:spacing w:after="80" w:before="40"/>
      </w:pPr>
      <w:r>
        <w:rPr>
          <w:rFonts w:ascii="Arial" w:cs="Arial" w:eastAsia="Arial" w:hAnsi="Arial"/>
          <w:sz w:val="20"/>
          <w:szCs w:val="20"/>
        </w:rPr>
        <w:t xml:space="preserve">For AI-enabled medical devices subject to EU MDR and EU AI Act, unified Technical Documentation shall address both regulatory frameworks. MDCG 2025-6 confirms that a single Technical Documentation covering both MDR Annex II/III and AI Act Annex IV requirements is acceptable and preferred. The AI-specific content shall include: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373"/>
        <w:gridCol w:w="3373"/>
        <w:gridCol w:w="2891"/>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Technical Documentation Element</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Content Requirements</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Regulatory Basis</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AI System Description</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Intended use, clinical workflow, AI algorithm type, architecture summary, input/output specification</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EU AI Act Annex IV; EU MDR Annex II</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Data Governance Documentation</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Training data sources, splitting strategy, bias assessment, annotation process, representativeness analysis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EU AI Act Art. 10; MDCG 2025-6</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Performance Evaluation Report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Test set results, subgroup analysis, confidence intervals, comparison to standard of care, failure analysis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EU AI Act Art. 15; EU MDR Annex II § 6.2</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Transparency Documentation (Model Card)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Model summary, limitations, intended user profile, contraindications, uncertainty representation</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EU AI Act Art. 13; EU MDR Annex I § 23</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Human Oversight Documentation</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Oversight mechanisms, override capability, monitoring alerts, user competency requirements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EU AI Act Art. 14; MDCG 2025-6</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AI Risk Management Report</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AI hazard analysis, benefit-risk analysis, residual risks, post-market monitoring triggers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EU AI Act Art. 9; ISO 14971</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Cybersecurity Assessment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AI-specific threat model, STRIDE-AI results, adversarial test report, SBOM (including model weights)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EU AI Act Art. 15; IEC 81001-5-1</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Post-Market Monitoring Plan (AI)</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Performance monitoring methodology, drift detection thresholds, data sources, update triggers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EU AI Act Art. 72; EU MDR Art. 83</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PCCP (where applicable)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Change categories, testing protocols, acceptance criteria, notification procedures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FDA PCCP Guidance Dec 2024; MDCG guidance</w:t>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9.2  FDA Submission Content (US Market)</w:t>
      </w:r>
    </w:p>
    <w:p>
      <w:pPr>
        <w:spacing w:after="80" w:before="40"/>
      </w:pPr>
      <w:r>
        <w:rPr>
          <w:rFonts w:ascii="Arial" w:cs="Arial" w:eastAsia="Arial" w:hAnsi="Arial"/>
          <w:sz w:val="20"/>
          <w:szCs w:val="20"/>
        </w:rPr>
        <w:t xml:space="preserve">For FDA submissions, the following AI-specific content shall be prepared in accordance with FDA AI Draft Guidance (January 2025) and submitted in eSTAR format:</w:t>
      </w:r>
    </w:p>
    <w:p>
      <w:pPr>
        <w:pStyle w:val="ListParagraph"/>
        <w:numPr>
          <w:ilvl w:val="0"/>
          <w:numId w:val="2"/>
        </w:numPr>
        <w:spacing w:after="40" w:before="20"/>
        <w:ind w:left="540" w:hanging="360"/>
      </w:pPr>
      <w:r>
        <w:rPr>
          <w:rFonts w:ascii="Arial" w:cs="Arial" w:eastAsia="Arial" w:hAnsi="Arial"/>
          <w:sz w:val="20"/>
          <w:szCs w:val="20"/>
        </w:rPr>
        <w:t xml:space="preserve">AI/ML device description including algorithm architecture, training approach, and clinical workflow integration</w:t>
      </w:r>
    </w:p>
    <w:p>
      <w:pPr>
        <w:pStyle w:val="ListParagraph"/>
        <w:numPr>
          <w:ilvl w:val="0"/>
          <w:numId w:val="2"/>
        </w:numPr>
        <w:spacing w:after="40" w:before="20"/>
        <w:ind w:left="540" w:hanging="360"/>
      </w:pPr>
      <w:r>
        <w:rPr>
          <w:rFonts w:ascii="Arial" w:cs="Arial" w:eastAsia="Arial" w:hAnsi="Arial"/>
          <w:sz w:val="20"/>
          <w:szCs w:val="20"/>
        </w:rPr>
        <w:t xml:space="preserve">Data management documentation: training data description, data sources, splits, de-identification approach</w:t>
      </w:r>
    </w:p>
    <w:p>
      <w:pPr>
        <w:pStyle w:val="ListParagraph"/>
        <w:numPr>
          <w:ilvl w:val="0"/>
          <w:numId w:val="2"/>
        </w:numPr>
        <w:spacing w:after="40" w:before="20"/>
        <w:ind w:left="540" w:hanging="360"/>
      </w:pPr>
      <w:r>
        <w:rPr>
          <w:rFonts w:ascii="Arial" w:cs="Arial" w:eastAsia="Arial" w:hAnsi="Arial"/>
          <w:sz w:val="20"/>
          <w:szCs w:val="20"/>
        </w:rPr>
        <w:t xml:space="preserve">Performance summary: primary metric results with confidence intervals, subgroup analysis, comparison to predicate</w:t>
      </w:r>
    </w:p>
    <w:p>
      <w:pPr>
        <w:pStyle w:val="ListParagraph"/>
        <w:numPr>
          <w:ilvl w:val="0"/>
          <w:numId w:val="2"/>
        </w:numPr>
        <w:spacing w:after="40" w:before="20"/>
        <w:ind w:left="540" w:hanging="360"/>
      </w:pPr>
      <w:r>
        <w:rPr>
          <w:rFonts w:ascii="Arial" w:cs="Arial" w:eastAsia="Arial" w:hAnsi="Arial"/>
          <w:sz w:val="20"/>
          <w:szCs w:val="20"/>
        </w:rPr>
        <w:t xml:space="preserve">Bias and representativeness assessment</w:t>
      </w:r>
    </w:p>
    <w:p>
      <w:pPr>
        <w:pStyle w:val="ListParagraph"/>
        <w:numPr>
          <w:ilvl w:val="0"/>
          <w:numId w:val="2"/>
        </w:numPr>
        <w:spacing w:after="40" w:before="20"/>
        <w:ind w:left="540" w:hanging="360"/>
      </w:pPr>
      <w:r>
        <w:rPr>
          <w:rFonts w:ascii="Arial" w:cs="Arial" w:eastAsia="Arial" w:hAnsi="Arial"/>
          <w:sz w:val="20"/>
          <w:szCs w:val="20"/>
        </w:rPr>
        <w:t xml:space="preserve">Human-AI interaction documentation: clinician workflow, AI output display, override mechanism</w:t>
      </w:r>
    </w:p>
    <w:p>
      <w:pPr>
        <w:pStyle w:val="ListParagraph"/>
        <w:numPr>
          <w:ilvl w:val="0"/>
          <w:numId w:val="2"/>
        </w:numPr>
        <w:spacing w:after="40" w:before="20"/>
        <w:ind w:left="540" w:hanging="360"/>
      </w:pPr>
      <w:r>
        <w:rPr>
          <w:rFonts w:ascii="Arial" w:cs="Arial" w:eastAsia="Arial" w:hAnsi="Arial"/>
          <w:sz w:val="20"/>
          <w:szCs w:val="20"/>
        </w:rPr>
        <w:t xml:space="preserve">PCCP (where post-market algorithm updates are planned)</w:t>
      </w:r>
    </w:p>
    <w:p>
      <w:pPr>
        <w:pStyle w:val="ListParagraph"/>
        <w:numPr>
          <w:ilvl w:val="0"/>
          <w:numId w:val="2"/>
        </w:numPr>
        <w:spacing w:after="40" w:before="20"/>
        <w:ind w:left="540" w:hanging="360"/>
      </w:pPr>
      <w:r>
        <w:rPr>
          <w:rFonts w:ascii="Arial" w:cs="Arial" w:eastAsia="Arial" w:hAnsi="Arial"/>
          <w:sz w:val="20"/>
          <w:szCs w:val="20"/>
        </w:rPr>
        <w:t xml:space="preserve">Cybersecurity documentation per FDA Cybersecurity Guidance June 2025: threat model, SBOM (including model components), vulnerability management plan</w:t>
      </w:r>
    </w:p>
    <w:p>
      <w:pPr>
        <w:pStyle w:val="ListParagraph"/>
        <w:numPr>
          <w:ilvl w:val="0"/>
          <w:numId w:val="2"/>
        </w:numPr>
        <w:spacing w:after="40" w:before="20"/>
        <w:ind w:left="540" w:hanging="360"/>
      </w:pPr>
      <w:r>
        <w:rPr>
          <w:rFonts w:ascii="Arial" w:cs="Arial" w:eastAsia="Arial" w:hAnsi="Arial"/>
          <w:sz w:val="20"/>
          <w:szCs w:val="20"/>
        </w:rPr>
        <w:t xml:space="preserve">Post-market performance monitoring plan</w:t>
      </w:r>
    </w:p>
    <w:p>
      <w:r>
        <w:br w:type="page"/>
      </w:r>
    </w:p>
    <w:p>
      <w:pPr>
        <w:pStyle w:val="Heading1"/>
        <w:shd w:fill="1A5C5C" w:val="clear"/>
        <w:spacing w:after="100" w:before="200"/>
        <w:ind w:left="120"/>
      </w:pPr>
      <w:r>
        <w:rPr>
          <w:rFonts w:ascii="Arial" w:cs="Arial" w:eastAsia="Arial" w:hAnsi="Arial"/>
          <w:b/>
          <w:bCs/>
          <w:color w:val="FFFFFF"/>
          <w:sz w:val="28"/>
          <w:szCs w:val="28"/>
        </w:rPr>
        <w:t xml:space="preserve">10.  PHASE 7 — POST-MARKET MONITORING AND PERFORMANCE SURVEILLANCE</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120"/>
        <w:gridCol w:w="7517"/>
      </w:tblGrid>
      <w:tr>
        <w:tc>
          <w:tcPr>
            <w:tcW w:type="dxa" w:w="2120"/>
            <w:gridSpan w:val="1"/>
            <w:tcBorders>
              <w:top w:val="none" w:color="FFFFFF" w:sz="0"/>
              <w:left w:val="none" w:color="FFFFFF" w:sz="0"/>
              <w:bottom w:val="none" w:color="FFFFFF" w:sz="0"/>
              <w:right w:val="none" w:color="FFFFFF" w:sz="0"/>
            </w:tcBorders>
            <w:shd w:fill="1A5C5C" w:val="clear"/>
            <w:tcMar>
              <w:top w:type="dxa" w:w="80"/>
              <w:left w:type="dxa" w:w="150"/>
              <w:bottom w:type="dxa" w:w="80"/>
              <w:right w:type="dxa" w:w="150"/>
            </w:tcMar>
          </w:tcPr>
          <w:p>
            <w:pPr>
              <w:spacing w:after="40"/>
            </w:pPr>
            <w:r>
              <w:rPr>
                <w:rFonts w:ascii="Arial" w:cs="Arial" w:eastAsia="Arial" w:hAnsi="Arial"/>
                <w:b/>
                <w:bCs/>
                <w:color w:val="D6EEEE"/>
                <w:sz w:val="18"/>
                <w:szCs w:val="18"/>
              </w:rPr>
              <w:t xml:space="preserve">Phase 7</w:t>
            </w:r>
          </w:p>
          <w:p>
            <w:r>
              <w:rPr>
                <w:rFonts w:ascii="Arial" w:cs="Arial" w:eastAsia="Arial" w:hAnsi="Arial"/>
                <w:b/>
                <w:bCs/>
                <w:color w:val="FFFFFF"/>
                <w:sz w:val="22"/>
                <w:szCs w:val="22"/>
              </w:rPr>
              <w:t xml:space="preserve">Post-Market Monitoring</w:t>
            </w:r>
          </w:p>
        </w:tc>
        <w:tc>
          <w:tcPr>
            <w:tcW w:type="dxa" w:w="7517"/>
            <w:gridSpan w:val="1"/>
            <w:tcBorders>
              <w:top w:val="none" w:color="FFFFFF" w:sz="0"/>
              <w:left w:val="none" w:color="FFFFFF" w:sz="0"/>
              <w:bottom w:val="none" w:color="FFFFFF" w:sz="0"/>
              <w:right w:val="none" w:color="FFFFFF" w:sz="0"/>
            </w:tcBorders>
            <w:shd w:fill="D6EEEE" w:val="clear"/>
            <w:tcMar>
              <w:top w:type="dxa" w:w="80"/>
              <w:left w:type="dxa" w:w="150"/>
              <w:bottom w:type="dxa" w:w="80"/>
              <w:right w:type="dxa" w:w="150"/>
            </w:tcMar>
          </w:tcPr>
          <w:p>
            <w:pPr>
              <w:spacing w:after="20" w:before="20"/>
            </w:pPr>
            <w:r>
              <w:rPr>
                <w:rFonts w:ascii="Arial" w:cs="Arial" w:eastAsia="Arial" w:hAnsi="Arial"/>
                <w:color w:val="1A1A1A"/>
                <w:sz w:val="18"/>
                <w:szCs w:val="18"/>
              </w:rPr>
              <w:t xml:space="preserve">Continuous AI performance monitoring</w:t>
            </w:r>
          </w:p>
          <w:p>
            <w:pPr>
              <w:spacing w:after="20" w:before="20"/>
            </w:pPr>
            <w:r>
              <w:rPr>
                <w:rFonts w:ascii="Arial" w:cs="Arial" w:eastAsia="Arial" w:hAnsi="Arial"/>
                <w:color w:val="1A1A1A"/>
                <w:sz w:val="18"/>
                <w:szCs w:val="18"/>
              </w:rPr>
              <w:t xml:space="preserve">Demographic drift detection</w:t>
            </w:r>
          </w:p>
          <w:p>
            <w:pPr>
              <w:spacing w:after="20" w:before="20"/>
            </w:pPr>
            <w:r>
              <w:rPr>
                <w:rFonts w:ascii="Arial" w:cs="Arial" w:eastAsia="Arial" w:hAnsi="Arial"/>
                <w:color w:val="1A1A1A"/>
                <w:sz w:val="18"/>
                <w:szCs w:val="18"/>
              </w:rPr>
              <w:t xml:space="preserve">Model drift detection (distribution shift)</w:t>
            </w:r>
          </w:p>
          <w:p>
            <w:pPr>
              <w:spacing w:after="20" w:before="20"/>
            </w:pPr>
            <w:r>
              <w:rPr>
                <w:rFonts w:ascii="Arial" w:cs="Arial" w:eastAsia="Arial" w:hAnsi="Arial"/>
                <w:color w:val="1A1A1A"/>
                <w:sz w:val="18"/>
                <w:szCs w:val="18"/>
              </w:rPr>
              <w:t xml:space="preserve">Bias monitoring in real-world deployment</w:t>
            </w:r>
          </w:p>
          <w:p>
            <w:pPr>
              <w:spacing w:after="20" w:before="20"/>
            </w:pPr>
            <w:r>
              <w:rPr>
                <w:rFonts w:ascii="Arial" w:cs="Arial" w:eastAsia="Arial" w:hAnsi="Arial"/>
                <w:color w:val="1A1A1A"/>
                <w:sz w:val="18"/>
                <w:szCs w:val="18"/>
              </w:rPr>
              <w:t xml:space="preserve">Incident reporting and adverse event surveillance</w:t>
            </w:r>
          </w:p>
          <w:p>
            <w:pPr>
              <w:spacing w:after="20" w:before="20"/>
            </w:pPr>
            <w:r>
              <w:rPr>
                <w:rFonts w:ascii="Arial" w:cs="Arial" w:eastAsia="Arial" w:hAnsi="Arial"/>
                <w:color w:val="1A1A1A"/>
                <w:sz w:val="18"/>
                <w:szCs w:val="18"/>
              </w:rPr>
              <w:t xml:space="preserve">PCCP-governed update management</w:t>
            </w:r>
          </w:p>
          <w:p>
            <w:pPr>
              <w:spacing w:after="20" w:before="20"/>
            </w:pPr>
            <w:r>
              <w:rPr>
                <w:rFonts w:ascii="Arial" w:cs="Arial" w:eastAsia="Arial" w:hAnsi="Arial"/>
                <w:color w:val="1A1A1A"/>
                <w:sz w:val="18"/>
                <w:szCs w:val="18"/>
              </w:rPr>
              <w:t xml:space="preserve">Periodic Safety Update Report (PSUR) AI content</w:t>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10.1  AI Performance Monitoring Plan</w:t>
      </w:r>
    </w:p>
    <w:p>
      <w:pPr>
        <w:spacing w:after="80" w:before="40"/>
      </w:pPr>
      <w:r>
        <w:rPr>
          <w:rFonts w:ascii="Arial" w:cs="Arial" w:eastAsia="Arial" w:hAnsi="Arial"/>
          <w:sz w:val="20"/>
          <w:szCs w:val="20"/>
        </w:rPr>
        <w:t xml:space="preserve">An AI Performance Monitoring Plan shall be established before market release and integrated into the Post-Market Surveillance Plan per SJL-SOP-PMS-001. The plan shall define:</w:t>
      </w:r>
    </w:p>
    <w:p>
      <w:pPr>
        <w:pStyle w:val="ListParagraph"/>
        <w:numPr>
          <w:ilvl w:val="0"/>
          <w:numId w:val="2"/>
        </w:numPr>
        <w:spacing w:after="40" w:before="20"/>
        <w:ind w:left="540" w:hanging="360"/>
      </w:pPr>
      <w:r>
        <w:rPr>
          <w:rFonts w:ascii="Arial" w:cs="Arial" w:eastAsia="Arial" w:hAnsi="Arial"/>
          <w:sz w:val="20"/>
          <w:szCs w:val="20"/>
        </w:rPr>
        <w:t xml:space="preserve">Performance metrics to be monitored in the post-market setting, including primary clinical metrics and surrogate process metrics where direct outcome measurement is not feasible</w:t>
      </w:r>
    </w:p>
    <w:p>
      <w:pPr>
        <w:pStyle w:val="ListParagraph"/>
        <w:numPr>
          <w:ilvl w:val="0"/>
          <w:numId w:val="2"/>
        </w:numPr>
        <w:spacing w:after="40" w:before="20"/>
        <w:ind w:left="540" w:hanging="360"/>
      </w:pPr>
      <w:r>
        <w:rPr>
          <w:rFonts w:ascii="Arial" w:cs="Arial" w:eastAsia="Arial" w:hAnsi="Arial"/>
          <w:sz w:val="20"/>
          <w:szCs w:val="20"/>
        </w:rPr>
        <w:t xml:space="preserve">Data collection mechanism: how real-world AI input-output pairs are captured, de-identified, and made available for post-market analysis</w:t>
      </w:r>
    </w:p>
    <w:p>
      <w:pPr>
        <w:pStyle w:val="ListParagraph"/>
        <w:numPr>
          <w:ilvl w:val="0"/>
          <w:numId w:val="2"/>
        </w:numPr>
        <w:spacing w:after="40" w:before="20"/>
        <w:ind w:left="540" w:hanging="360"/>
      </w:pPr>
      <w:r>
        <w:rPr>
          <w:rFonts w:ascii="Arial" w:cs="Arial" w:eastAsia="Arial" w:hAnsi="Arial"/>
          <w:sz w:val="20"/>
          <w:szCs w:val="20"/>
        </w:rPr>
        <w:t xml:space="preserve">Monitoring frequency: continuous automated monitoring for operational metrics; periodic (at minimum quarterly) formal performance analysis</w:t>
      </w:r>
    </w:p>
    <w:p>
      <w:pPr>
        <w:pStyle w:val="ListParagraph"/>
        <w:numPr>
          <w:ilvl w:val="0"/>
          <w:numId w:val="2"/>
        </w:numPr>
        <w:spacing w:after="40" w:before="20"/>
        <w:ind w:left="540" w:hanging="360"/>
      </w:pPr>
      <w:r>
        <w:rPr>
          <w:rFonts w:ascii="Arial" w:cs="Arial" w:eastAsia="Arial" w:hAnsi="Arial"/>
          <w:sz w:val="20"/>
          <w:szCs w:val="20"/>
        </w:rPr>
        <w:t xml:space="preserve">Drift detection methodology: statistical process control methods (e.g. CUSUM, EWMA), ROC-AUC thresholds, or distributional shift detection (e.g. covariate shift monitoring)</w:t>
      </w:r>
    </w:p>
    <w:p>
      <w:pPr>
        <w:pStyle w:val="ListParagraph"/>
        <w:numPr>
          <w:ilvl w:val="0"/>
          <w:numId w:val="2"/>
        </w:numPr>
        <w:spacing w:after="40" w:before="20"/>
        <w:ind w:left="540" w:hanging="360"/>
      </w:pPr>
      <w:r>
        <w:rPr>
          <w:rFonts w:ascii="Arial" w:cs="Arial" w:eastAsia="Arial" w:hAnsi="Arial"/>
          <w:sz w:val="20"/>
          <w:szCs w:val="20"/>
        </w:rPr>
        <w:t xml:space="preserve">Trigger thresholds: at what performance level does monitoring trigger: (a) increased monitoring frequency, (b) operator notification, (c) CAPA initiation, (d) market withdrawal or FSCA</w:t>
      </w:r>
    </w:p>
    <w:p>
      <w:pPr>
        <w:pStyle w:val="ListParagraph"/>
        <w:numPr>
          <w:ilvl w:val="0"/>
          <w:numId w:val="2"/>
        </w:numPr>
        <w:spacing w:after="40" w:before="20"/>
        <w:ind w:left="540" w:hanging="360"/>
      </w:pPr>
      <w:r>
        <w:rPr>
          <w:rFonts w:ascii="Arial" w:cs="Arial" w:eastAsia="Arial" w:hAnsi="Arial"/>
          <w:sz w:val="20"/>
          <w:szCs w:val="20"/>
        </w:rPr>
        <w:t xml:space="preserve">Subgroup monitoring: performance shall be monitored for systematic changes across clinically relevant demographic and clinical subgroups</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10.2  Model Drift and Distribution Shift</w:t>
      </w:r>
    </w:p>
    <w:p>
      <w:pPr>
        <w:spacing w:after="80" w:before="40"/>
      </w:pPr>
      <w:r>
        <w:rPr>
          <w:rFonts w:ascii="Arial" w:cs="Arial" w:eastAsia="Arial" w:hAnsi="Arial"/>
          <w:sz w:val="20"/>
          <w:szCs w:val="20"/>
        </w:rPr>
        <w:t xml:space="preserve">AI model performance degrades when the real-world data distribution shifts from the training distribution. The following drift types shall be monitored:</w:t>
      </w:r>
    </w:p>
    <w:p>
      <w:pPr>
        <w:pStyle w:val="ListParagraph"/>
        <w:numPr>
          <w:ilvl w:val="0"/>
          <w:numId w:val="2"/>
        </w:numPr>
        <w:spacing w:after="40" w:before="20"/>
        <w:ind w:left="540" w:hanging="360"/>
      </w:pPr>
      <w:r>
        <w:rPr>
          <w:rFonts w:ascii="Arial" w:cs="Arial" w:eastAsia="Arial" w:hAnsi="Arial"/>
          <w:sz w:val="20"/>
          <w:szCs w:val="20"/>
        </w:rPr>
        <w:t xml:space="preserve">Covariate drift: changes in the statistical distribution of input features (e.g. change in patient demographics, imaging equipment upgrade, protocol change)</w:t>
      </w:r>
    </w:p>
    <w:p>
      <w:pPr>
        <w:pStyle w:val="ListParagraph"/>
        <w:numPr>
          <w:ilvl w:val="0"/>
          <w:numId w:val="2"/>
        </w:numPr>
        <w:spacing w:after="40" w:before="20"/>
        <w:ind w:left="540" w:hanging="360"/>
      </w:pPr>
      <w:r>
        <w:rPr>
          <w:rFonts w:ascii="Arial" w:cs="Arial" w:eastAsia="Arial" w:hAnsi="Arial"/>
          <w:sz w:val="20"/>
          <w:szCs w:val="20"/>
        </w:rPr>
        <w:t xml:space="preserve">Label drift: changes in the underlying prevalence or distribution of the clinical outcomes the model predicts</w:t>
      </w:r>
    </w:p>
    <w:p>
      <w:pPr>
        <w:pStyle w:val="ListParagraph"/>
        <w:numPr>
          <w:ilvl w:val="0"/>
          <w:numId w:val="2"/>
        </w:numPr>
        <w:spacing w:after="40" w:before="20"/>
        <w:ind w:left="540" w:hanging="360"/>
      </w:pPr>
      <w:r>
        <w:rPr>
          <w:rFonts w:ascii="Arial" w:cs="Arial" w:eastAsia="Arial" w:hAnsi="Arial"/>
          <w:sz w:val="20"/>
          <w:szCs w:val="20"/>
        </w:rPr>
        <w:t xml:space="preserve">Concept drift: changes in the relationship between inputs and outputs (e.g. new disease variants, treatment protocol changes affecting outcome definitions)</w:t>
      </w:r>
    </w:p>
    <w:p>
      <w:pPr>
        <w:spacing w:after="80" w:before="0"/>
      </w:pPr>
    </w:p>
    <w:p>
      <w:pPr>
        <w:spacing w:after="80" w:before="40"/>
      </w:pPr>
      <w:r>
        <w:rPr>
          <w:rFonts w:ascii="Arial" w:cs="Arial" w:eastAsia="Arial" w:hAnsi="Arial"/>
          <w:sz w:val="20"/>
          <w:szCs w:val="20"/>
        </w:rPr>
        <w:t xml:space="preserve">Where drift is detected above defined thresholds, the change assessment process (SJL-SOP-SW-001 § 11.2) shall determine whether the response is: (a) a PCCP-governed retrain/update, (b) a labelling update restricting the intended use, or (c) a full regulatory submission for material modification to intended use.</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10.3  Incident Reporting for AI Devices</w:t>
      </w:r>
    </w:p>
    <w:p>
      <w:pPr>
        <w:spacing w:after="80" w:before="40"/>
      </w:pPr>
      <w:r>
        <w:rPr>
          <w:rFonts w:ascii="Arial" w:cs="Arial" w:eastAsia="Arial" w:hAnsi="Arial"/>
          <w:sz w:val="20"/>
          <w:szCs w:val="20"/>
        </w:rPr>
        <w:t xml:space="preserve">Adverse events and serious incidents involving AI-enabled medical devices shall be reported per SJL-SOP-VIG-001. For AI devices, the incident investigation shall additionally address:</w:t>
      </w:r>
    </w:p>
    <w:p>
      <w:pPr>
        <w:pStyle w:val="ListParagraph"/>
        <w:numPr>
          <w:ilvl w:val="0"/>
          <w:numId w:val="2"/>
        </w:numPr>
        <w:spacing w:after="40" w:before="20"/>
        <w:ind w:left="540" w:hanging="360"/>
      </w:pPr>
      <w:r>
        <w:rPr>
          <w:rFonts w:ascii="Arial" w:cs="Arial" w:eastAsia="Arial" w:hAnsi="Arial"/>
          <w:sz w:val="20"/>
          <w:szCs w:val="20"/>
        </w:rPr>
        <w:t xml:space="preserve">Was the AI output a contributing factor to the incident? Document the AI input, output, confidence, and clinical context at the time of the incident.</w:t>
      </w:r>
    </w:p>
    <w:p>
      <w:pPr>
        <w:pStyle w:val="ListParagraph"/>
        <w:numPr>
          <w:ilvl w:val="0"/>
          <w:numId w:val="2"/>
        </w:numPr>
        <w:spacing w:after="40" w:before="20"/>
        <w:ind w:left="540" w:hanging="360"/>
      </w:pPr>
      <w:r>
        <w:rPr>
          <w:rFonts w:ascii="Arial" w:cs="Arial" w:eastAsia="Arial" w:hAnsi="Arial"/>
          <w:sz w:val="20"/>
          <w:szCs w:val="20"/>
        </w:rPr>
        <w:t xml:space="preserve">Was the incident caused by: model failure, adversarial input, data quality issue, user misinterpretation of AI output, or system integration failure?</w:t>
      </w:r>
    </w:p>
    <w:p>
      <w:pPr>
        <w:pStyle w:val="ListParagraph"/>
        <w:numPr>
          <w:ilvl w:val="0"/>
          <w:numId w:val="2"/>
        </w:numPr>
        <w:spacing w:after="40" w:before="20"/>
        <w:ind w:left="540" w:hanging="360"/>
      </w:pPr>
      <w:r>
        <w:rPr>
          <w:rFonts w:ascii="Arial" w:cs="Arial" w:eastAsia="Arial" w:hAnsi="Arial"/>
          <w:sz w:val="20"/>
          <w:szCs w:val="20"/>
        </w:rPr>
        <w:t xml:space="preserve">Is there evidence of systematic failure (pattern across multiple cases) or isolated failure (single case)?</w:t>
      </w:r>
    </w:p>
    <w:p>
      <w:pPr>
        <w:pStyle w:val="ListParagraph"/>
        <w:numPr>
          <w:ilvl w:val="0"/>
          <w:numId w:val="2"/>
        </w:numPr>
        <w:spacing w:after="40" w:before="20"/>
        <w:ind w:left="540" w:hanging="360"/>
      </w:pPr>
      <w:r>
        <w:rPr>
          <w:rFonts w:ascii="Arial" w:cs="Arial" w:eastAsia="Arial" w:hAnsi="Arial"/>
          <w:sz w:val="20"/>
          <w:szCs w:val="20"/>
        </w:rPr>
        <w:t xml:space="preserve">Does the incident constitute a post-market signal requiring threat model update, PCCP revision, or labelling change?</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10.4  PCCP-Governed Update Management</w:t>
      </w:r>
    </w:p>
    <w:p>
      <w:pPr>
        <w:spacing w:after="80" w:before="40"/>
      </w:pPr>
      <w:r>
        <w:rPr>
          <w:rFonts w:ascii="Arial" w:cs="Arial" w:eastAsia="Arial" w:hAnsi="Arial"/>
          <w:sz w:val="20"/>
          <w:szCs w:val="20"/>
        </w:rPr>
        <w:t xml:space="preserve">Changes to AI components that fall within the scope of an approved PCCP shall follow the PCCP Change Management Procedure (SJL-TMP-AI-001). Before implementing any PCCP-governed change, the following shall be completed and documented:</w:t>
      </w:r>
    </w:p>
    <w:p>
      <w:pPr>
        <w:pStyle w:val="ListParagraph"/>
        <w:numPr>
          <w:ilvl w:val="0"/>
          <w:numId w:val="3"/>
        </w:numPr>
        <w:spacing w:after="40" w:before="20"/>
        <w:ind w:left="540" w:hanging="360"/>
      </w:pPr>
      <w:r>
        <w:rPr>
          <w:rFonts w:ascii="Arial" w:cs="Arial" w:eastAsia="Arial" w:hAnsi="Arial"/>
          <w:sz w:val="20"/>
          <w:szCs w:val="20"/>
        </w:rPr>
        <w:t xml:space="preserve">Confirm the proposed change falls within the approved PCCP change category and boundaries</w:t>
      </w:r>
    </w:p>
    <w:p>
      <w:pPr>
        <w:pStyle w:val="ListParagraph"/>
        <w:numPr>
          <w:ilvl w:val="0"/>
          <w:numId w:val="3"/>
        </w:numPr>
        <w:spacing w:after="40" w:before="20"/>
        <w:ind w:left="540" w:hanging="360"/>
      </w:pPr>
      <w:r>
        <w:rPr>
          <w:rFonts w:ascii="Arial" w:cs="Arial" w:eastAsia="Arial" w:hAnsi="Arial"/>
          <w:sz w:val="20"/>
          <w:szCs w:val="20"/>
        </w:rPr>
        <w:t xml:space="preserve">Execute the testing and validation protocol specified in the PCCP for this change category</w:t>
      </w:r>
    </w:p>
    <w:p>
      <w:pPr>
        <w:pStyle w:val="ListParagraph"/>
        <w:numPr>
          <w:ilvl w:val="0"/>
          <w:numId w:val="3"/>
        </w:numPr>
        <w:spacing w:after="40" w:before="20"/>
        <w:ind w:left="540" w:hanging="360"/>
      </w:pPr>
      <w:r>
        <w:rPr>
          <w:rFonts w:ascii="Arial" w:cs="Arial" w:eastAsia="Arial" w:hAnsi="Arial"/>
          <w:sz w:val="20"/>
          <w:szCs w:val="20"/>
        </w:rPr>
        <w:t xml:space="preserve">Confirm performance meets PCCP acceptance criteria on all required metrics including subgroup analysis</w:t>
      </w:r>
    </w:p>
    <w:p>
      <w:pPr>
        <w:pStyle w:val="ListParagraph"/>
        <w:numPr>
          <w:ilvl w:val="0"/>
          <w:numId w:val="3"/>
        </w:numPr>
        <w:spacing w:after="40" w:before="20"/>
        <w:ind w:left="540" w:hanging="360"/>
      </w:pPr>
      <w:r>
        <w:rPr>
          <w:rFonts w:ascii="Arial" w:cs="Arial" w:eastAsia="Arial" w:hAnsi="Arial"/>
          <w:sz w:val="20"/>
          <w:szCs w:val="20"/>
        </w:rPr>
        <w:t xml:space="preserve">Conduct security assessment of the updated model including SBOM update and vulnerability scan</w:t>
      </w:r>
    </w:p>
    <w:p>
      <w:pPr>
        <w:pStyle w:val="ListParagraph"/>
        <w:numPr>
          <w:ilvl w:val="0"/>
          <w:numId w:val="3"/>
        </w:numPr>
        <w:spacing w:after="40" w:before="20"/>
        <w:ind w:left="540" w:hanging="360"/>
      </w:pPr>
      <w:r>
        <w:rPr>
          <w:rFonts w:ascii="Arial" w:cs="Arial" w:eastAsia="Arial" w:hAnsi="Arial"/>
          <w:sz w:val="20"/>
          <w:szCs w:val="20"/>
        </w:rPr>
        <w:t xml:space="preserve">Prepare operator communication per the PCCP notification procedure</w:t>
      </w:r>
    </w:p>
    <w:p>
      <w:pPr>
        <w:pStyle w:val="ListParagraph"/>
        <w:numPr>
          <w:ilvl w:val="0"/>
          <w:numId w:val="3"/>
        </w:numPr>
        <w:spacing w:after="40" w:before="20"/>
        <w:ind w:left="540" w:hanging="360"/>
      </w:pPr>
      <w:r>
        <w:rPr>
          <w:rFonts w:ascii="Arial" w:cs="Arial" w:eastAsia="Arial" w:hAnsi="Arial"/>
          <w:sz w:val="20"/>
          <w:szCs w:val="20"/>
        </w:rPr>
        <w:t xml:space="preserve">Update Technical Documentation, AI Development Plan, and risk management file to reflect the change</w:t>
      </w:r>
    </w:p>
    <w:p>
      <w:pPr>
        <w:pStyle w:val="ListParagraph"/>
        <w:numPr>
          <w:ilvl w:val="0"/>
          <w:numId w:val="3"/>
        </w:numPr>
        <w:spacing w:after="40" w:before="20"/>
        <w:ind w:left="540" w:hanging="360"/>
      </w:pPr>
      <w:r>
        <w:rPr>
          <w:rFonts w:ascii="Arial" w:cs="Arial" w:eastAsia="Arial" w:hAnsi="Arial"/>
          <w:sz w:val="20"/>
          <w:szCs w:val="20"/>
        </w:rPr>
        <w:t xml:space="preserve">Archive the updated model version, training record, and evaluation report</w:t>
      </w:r>
    </w:p>
    <w:p>
      <w:pPr>
        <w:pStyle w:val="ListParagraph"/>
        <w:numPr>
          <w:ilvl w:val="0"/>
          <w:numId w:val="3"/>
        </w:numPr>
        <w:spacing w:after="40" w:before="20"/>
        <w:ind w:left="540" w:hanging="360"/>
      </w:pPr>
      <w:r>
        <w:rPr>
          <w:rFonts w:ascii="Arial" w:cs="Arial" w:eastAsia="Arial" w:hAnsi="Arial"/>
          <w:sz w:val="20"/>
          <w:szCs w:val="20"/>
        </w:rPr>
        <w:t xml:space="preserve">Implement the change and initiate the PCCP post-implementation monitoring period</w:t>
      </w:r>
    </w:p>
    <w:p>
      <w:pPr>
        <w:spacing w:after="80" w:before="0"/>
      </w:pPr>
    </w:p>
    <w:p>
      <w:pPr>
        <w:shd w:fill="FFF0F0" w:val="clear"/>
        <w:spacing w:after="80" w:before="40"/>
        <w:ind w:left="360"/>
      </w:pPr>
      <w:r>
        <w:rPr>
          <w:rFonts w:ascii="Arial" w:cs="Arial" w:eastAsia="Arial" w:hAnsi="Arial"/>
          <w:b/>
          <w:bCs/>
          <w:color w:val="C00000"/>
          <w:sz w:val="18"/>
          <w:szCs w:val="18"/>
        </w:rPr>
        <w:t xml:space="preserve">IMPORTANT: </w:t>
      </w:r>
      <w:r>
        <w:rPr>
          <w:rFonts w:ascii="Arial" w:cs="Arial" w:eastAsia="Arial" w:hAnsi="Arial"/>
          <w:color w:val="333333"/>
          <w:sz w:val="18"/>
          <w:szCs w:val="18"/>
        </w:rPr>
        <w:t xml:space="preserve">Changes that exceed PCCP boundaries — including changes to intended use, input modality, target patient population, or fundamental model architecture — require a new or updated regulatory submission regardless of PCCP status. The change assessment (SJL-SOP-CHG-001) shall make this determination before any out-of-PCCP change is implemented.</w:t>
      </w:r>
    </w:p>
    <w:p>
      <w:r>
        <w:br w:type="page"/>
      </w:r>
    </w:p>
    <w:p>
      <w:pPr>
        <w:pStyle w:val="Heading1"/>
        <w:shd w:fill="1A5C5C" w:val="clear"/>
        <w:spacing w:after="100" w:before="200"/>
        <w:ind w:left="120"/>
      </w:pPr>
      <w:r>
        <w:rPr>
          <w:rFonts w:ascii="Arial" w:cs="Arial" w:eastAsia="Arial" w:hAnsi="Arial"/>
          <w:b/>
          <w:bCs/>
          <w:color w:val="FFFFFF"/>
          <w:sz w:val="28"/>
          <w:szCs w:val="28"/>
        </w:rPr>
        <w:t xml:space="preserve">11.  ROLES AND RESPONSIBILITIES</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9"/>
        <w:gridCol w:w="4337"/>
        <w:gridCol w:w="2891"/>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Role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AIeMD Responsibilities</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Standard Reference</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AI Lead / Chief AI Officer</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Own AI Development Plan; lead AI architecture decisions; manage data governance; oversee model development and evaluation; maintain PCCP; interface with Notified Body on AI-specific questions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ISO/IEC 42001; EU AI Act Art. 9; FDA AI Guidance</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Data Scientist / ML Engineer</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Execute model development and training; produce Training Records; conduct model evaluation; maintain reproducibility; implement bias mitigation</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IEC 62304 Ed.2 AI Annex; EU AI Act Art. 10</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Clinical Affairs / Clinical Validation Lead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Define clinical performance requirements; design and execute clinical validation studies; interpret clinical performance results; contribute to clinical evaluation report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EU MDR Art. 61; MDCG 2020-13; ISO 14155</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Regulatory Affairs (EU)</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Map AI Act and MDR Technical Documentation requirements; assess AI Act classification; manage Notified Body interaction on AI content; assess significant change determinations for AI components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EU AI Act; MDCG 2025-6; EU MDR</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Regulatory Affairs (US)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Prepare FDA AI submission content; manage PCCP submission; assess de novo, 510(k), or PMA pathway for AI device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FDA AI Guidance; FDA PCCP Guidance</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Risk Manager</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Integrate AI-specific hazards into ISO 14971 risk management file; conduct benefit-risk analysis for AI components; approve AI risk acceptances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ISO 14971:2019+Amd.2024; AAMI SW96</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Product Security / PSIRT Lead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Conduct AI threat modelling (STRIDE-AI); perform adversarial security testing; manage AI SBOM; assess third-party model supply chain security; manage AI security incidents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IEC 81001-5-1; SJL-SOP-SEC-001</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Quality Assurance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Review and approve AI lifecycle documents; audit AI development activities; manage AI non-conformances; include AI performance in internal audit programme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ISO 13485; EU AI Act Art. 9</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PMS Lead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Operate AI performance monitoring; detect and assess model drift; trigger CAPAs; prepare PSUR AI content; manage AI adverse event investigation</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EU AI Act Art. 72; EU MDR Art. 83</w:t>
            </w:r>
          </w:p>
        </w:tc>
      </w:tr>
    </w:tbl>
    <w:p>
      <w:r>
        <w:br w:type="page"/>
      </w:r>
    </w:p>
    <w:p>
      <w:pPr>
        <w:pStyle w:val="Heading1"/>
        <w:shd w:fill="1A5C5C" w:val="clear"/>
        <w:spacing w:after="100" w:before="200"/>
        <w:ind w:left="120"/>
      </w:pPr>
      <w:r>
        <w:rPr>
          <w:rFonts w:ascii="Arial" w:cs="Arial" w:eastAsia="Arial" w:hAnsi="Arial"/>
          <w:b/>
          <w:bCs/>
          <w:color w:val="FFFFFF"/>
          <w:sz w:val="28"/>
          <w:szCs w:val="28"/>
        </w:rPr>
        <w:t xml:space="preserve">12.  COMPETENCY AND TRAINING REQUIREMENTS</w:t>
      </w:r>
    </w:p>
    <w:p>
      <w:pPr>
        <w:spacing w:after="80" w:before="0"/>
      </w:pPr>
    </w:p>
    <w:p>
      <w:pPr>
        <w:spacing w:after="80" w:before="40"/>
      </w:pPr>
      <w:r>
        <w:rPr>
          <w:rFonts w:ascii="Arial" w:cs="Arial" w:eastAsia="Arial" w:hAnsi="Arial"/>
          <w:sz w:val="20"/>
          <w:szCs w:val="20"/>
        </w:rPr>
        <w:t xml:space="preserve">Personnel with roles in AIeMD development shall demonstrate competency in AI-specific topics beyond the general software development and regulatory training defined in SJL-SOP-SEC-001 § 10. The following additional training is mandatory for the roles indicated:</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84"/>
        <w:gridCol w:w="2409"/>
        <w:gridCol w:w="1734"/>
        <w:gridCol w:w="2409"/>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Training</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Audience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Frequency</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Competency Evidence</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EU AI Act requirements and compliance for medical devices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AI Lead, RA, QA, CISO</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Initial + on regulatory update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Assessment ≥ 75%; supervisor sign-off</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AI/ML model development, validation methodology, and bias assessment</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AI Lead, Data Scientists, ML Engineers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Initial + biennial</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Practical project assessment</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AI risk management and ISO 14971 hazard integration for AI systems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Risk Manager, AI Lead, QA</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Initial + on standard update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Case study assessment</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AI cybersecurity — threat modelling (STRIDE-AI), adversarial attacks, supply chain AI risk</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Product Security, AI Lead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Initial + annual</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Hands-on exercise sign-off</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PCCP framework and change management for AI devices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AI Lead, RA, QA</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Initial + on guidance update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Assessment ≥ 75%</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Clinical AI literacy — interpreting AI outputs, automation bias, human oversight</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Clinical Affairs, Medical Writers, UX</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Initial + biennial</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Scenario-based assessment</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Data governance and GDPR/data protection for AI development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AI Lead, Data Scientists, Data Managers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Initial + biennial</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Certificate of completion</w:t>
            </w:r>
          </w:p>
        </w:tc>
      </w:tr>
    </w:tbl>
    <w:p>
      <w:r>
        <w:br w:type="page"/>
      </w:r>
    </w:p>
    <w:p>
      <w:pPr>
        <w:pStyle w:val="Heading1"/>
        <w:shd w:fill="1A5C5C" w:val="clear"/>
        <w:spacing w:after="100" w:before="200"/>
        <w:ind w:left="120"/>
      </w:pPr>
      <w:r>
        <w:rPr>
          <w:rFonts w:ascii="Arial" w:cs="Arial" w:eastAsia="Arial" w:hAnsi="Arial"/>
          <w:b/>
          <w:bCs/>
          <w:color w:val="FFFFFF"/>
          <w:sz w:val="28"/>
          <w:szCs w:val="28"/>
        </w:rPr>
        <w:t xml:space="preserve">13.  DOCUMENT CONTROL AND REVISION HISTORY</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156"/>
        <w:gridCol w:w="1734"/>
        <w:gridCol w:w="1927"/>
        <w:gridCol w:w="4819"/>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Version</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Date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Author</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Summary of Changes</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1.0</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May 2026</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[Author]</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Initial issue. Covers full AIeMD development lifecycle across 7 phases. Aligned to EU AI Act 2024/1689, MDCG 2025-6/AIB 2025-1, IEC 62304 Ed.2 AI Annex, ISO 14971:2019+Amd.2024, IEC 81001-5-1:2021, ISO/IEC 42001:2023, FDA AI Draft Guidance (Jan 2025), and FDA PCCP Guidance (Dec 2024).</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[Next]</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[Date]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[Author]</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[Planned: FDA AI Guidance finalisation update; EU AI Act enforcement date update; IEC 62304 Ed.2 harmonisation update]</w:t>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Review Triggers</w:t>
      </w:r>
    </w:p>
    <w:p>
      <w:pPr>
        <w:spacing w:after="80" w:before="40"/>
      </w:pPr>
      <w:r>
        <w:rPr>
          <w:rFonts w:ascii="Arial" w:cs="Arial" w:eastAsia="Arial" w:hAnsi="Arial"/>
          <w:sz w:val="20"/>
          <w:szCs w:val="20"/>
        </w:rPr>
        <w:t xml:space="preserve">This SOP shall be reviewed annually and additionally triggered by: finalisation of FDA AI Draft Guidance; EU AI Act enforcement milestones (August 2026, August 2027); publication of IEC 62304 Edition 2; new MDCG guidance on AI; significant AI safety incident in the industry; management review decision.</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Related Documents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98"/>
        <w:gridCol w:w="4337"/>
        <w:gridCol w:w="2602"/>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Reference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Title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Relationship</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SJL-SOP-SW-001</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Software Development Lifecycle SOP</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Parent SDLC SOP — mandatory companion</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SJL-SOP-RM-001</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Risk Management SOP (ISO 14971)</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Risk management — mandatory companion for AI hazard integration</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SJL-SOP-SEC-001</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Cybersecurity Policy and SOP (IEC 81001-5-1)</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Security lifecycle — mandatory companion for AI threat modelling</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SJL-SOP-PMS-001</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Post-Market Surveillance SOP</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PMS — AI monitoring plan integration</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SJL-SOP-CE-001</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Clinical Evaluation and PMCF SOP</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Clinical evidence for AI devices</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SJL-SOP-CHG-001</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Change Management SOP</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AI change management and PCCP governance</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SJL-TMP-AI-001</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AIeMD Risk Management and PCCP Template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AI-specific risk and PCCP documentation</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SJL-WI-AI-001</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AI Model Validation Work Instruction</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Step-by-step model training, evaluation, and bias assessment</w:t>
            </w:r>
          </w:p>
        </w:tc>
      </w:tr>
    </w:tbl>
    <w:p>
      <w:pPr>
        <w:spacing w:after="200" w:before="0"/>
      </w:pPr>
    </w:p>
    <w:p>
      <w:pPr>
        <w:pStyle w:val="Heading3"/>
        <w:pBdr>
          <w:bottom w:val="single" w:color="2E5F9A" w:sz="4" w:space="1"/>
        </w:pBdr>
        <w:spacing w:after="60" w:before="140"/>
      </w:pPr>
      <w:r>
        <w:rPr>
          <w:rFonts w:ascii="Arial" w:cs="Arial" w:eastAsia="Arial" w:hAnsi="Arial"/>
          <w:b/>
          <w:bCs/>
          <w:color w:val="1F3864"/>
          <w:sz w:val="24"/>
          <w:szCs w:val="24"/>
        </w:rPr>
        <w:t xml:space="preserve">Approval and Authorisation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9"/>
        <w:gridCol w:w="2891"/>
        <w:gridCol w:w="2409"/>
        <w:gridCol w:w="1927"/>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Role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Name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Signature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Date</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Prepared By</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Reviewed By</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Approved By</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r>
    </w:tbl>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5C5C" w:sz="4" w:space="1"/>
      </w:pBdr>
      <w:tabs>
        <w:tab w:val="center" w:pos="4819"/>
        <w:tab w:val="right" w:pos="9638"/>
      </w:tabs>
      <w:spacing w:before="80"/>
    </w:pPr>
    <w:r>
      <w:rPr>
        <w:rFonts w:ascii="Arial" w:cs="Arial" w:eastAsia="Arial" w:hAnsi="Arial"/>
        <w:color w:val="666666"/>
        <w:sz w:val="16"/>
        <w:szCs w:val="16"/>
      </w:rPr>
      <w:t xml:space="preserve">SJL-SOP-AI-001</w:t>
    </w:r>
    <w:r>
      <w:rPr>
        <w:rFonts w:ascii="Arial" w:cs="Arial" w:eastAsia="Arial" w:hAnsi="Arial"/>
        <w:color w:val="666666"/>
        <w:sz w:val="16"/>
        <w:szCs w:val="16"/>
      </w:rPr>
      <w:t xml:space="preserve">	AIeMD Development and Lifecycle SOP</w:t>
    </w:r>
    <w:r>
      <w:rPr>
        <w:rFonts w:ascii="Arial" w:cs="Arial" w:eastAsia="Arial" w:hAnsi="Arial"/>
        <w:color w:val="666666"/>
        <w:sz w:val="16"/>
        <w:szCs w:val="16"/>
      </w:rPr>
      <w:t xml:space="preserve">	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6746"/>
      <w:gridCol w:w="2891"/>
    </w:tblGrid>
    <w:tr>
      <w:tc>
        <w:tcPr>
          <w:tcBorders>
            <w:top w:val="none" w:color="FFFFFF" w:sz="0"/>
            <w:left w:val="none" w:color="FFFFFF" w:sz="0"/>
            <w:bottom w:val="none" w:color="FFFFFF" w:sz="0"/>
            <w:right w:val="none" w:color="FFFFFF" w:sz="0"/>
          </w:tcBorders>
          <w:shd w:fill="1A5C5C" w:val="clear"/>
          <w:tcMar>
            <w:top w:type="dxa" w:w="60"/>
            <w:left w:type="dxa" w:w="120"/>
            <w:bottom w:type="dxa" w:w="60"/>
            <w:right w:type="dxa" w:w="120"/>
          </w:tcMar>
        </w:tcPr>
        <w:p>
          <w:r>
            <w:rPr>
              <w:rFonts w:ascii="Arial" w:cs="Arial" w:eastAsia="Arial" w:hAnsi="Arial"/>
              <w:b/>
              <w:bCs/>
              <w:color w:val="FFFFFF"/>
              <w:sz w:val="16"/>
              <w:szCs w:val="16"/>
            </w:rPr>
            <w:t xml:space="preserve">AIeMD DEVELOPMENT &amp; LIFECYCLE SOP  |  AI-Enabled Medical Device</w:t>
          </w:r>
        </w:p>
      </w:tc>
      <w:tc>
        <w:tcPr>
          <w:tcBorders>
            <w:top w:val="none" w:color="FFFFFF" w:sz="0"/>
            <w:left w:val="none" w:color="FFFFFF" w:sz="0"/>
            <w:bottom w:val="none" w:color="FFFFFF" w:sz="0"/>
            <w:right w:val="none" w:color="FFFFFF" w:sz="0"/>
          </w:tcBorders>
          <w:shd w:fill="2E8B8B" w:val="clear"/>
          <w:tcMar>
            <w:top w:type="dxa" w:w="60"/>
            <w:left w:type="dxa" w:w="120"/>
            <w:bottom w:type="dxa" w:w="60"/>
            <w:right w:type="dxa" w:w="120"/>
          </w:tcMar>
          <w:vAlign w:val="center"/>
        </w:tcPr>
        <w:p>
          <w:pPr>
            <w:jc w:val="right"/>
          </w:pPr>
          <w:r>
            <w:rPr>
              <w:rFonts w:ascii="Arial" w:cs="Arial" w:eastAsia="Arial" w:hAnsi="Arial"/>
              <w:color w:val="FFFFFF"/>
              <w:sz w:val="15"/>
              <w:szCs w:val="15"/>
            </w:rPr>
            <w:t xml:space="preserve">SJL-SOP-AI-001  |  v1.0  |  May 2026  |  CONFIDENTIAL</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900" w:hanging="360"/>
      </w:pPr>
    </w:lvl>
  </w:abstractNum>
  <w:abstractNum w:abstractNumId="3"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00"/>
      <w:outlineLvl w:val="0"/>
    </w:pPr>
    <w:rPr>
      <w:rFonts w:ascii="Arial" w:cs="Arial" w:eastAsia="Arial" w:hAnsi="Arial"/>
      <w:b/>
      <w:bCs/>
      <w:color w:val="FFFFFF"/>
      <w:sz w:val="28"/>
      <w:szCs w:val="28"/>
    </w:rPr>
  </w:style>
  <w:style w:type="paragraph" w:styleId="Heading2">
    <w:name w:val="Heading 2"/>
    <w:basedOn w:val="Normal"/>
    <w:next w:val="Normal"/>
    <w:qFormat/>
    <w:pPr>
      <w:spacing w:after="80" w:before="160"/>
      <w:outlineLvl w:val="1"/>
    </w:pPr>
    <w:rPr>
      <w:rFonts w:ascii="Arial" w:cs="Arial" w:eastAsia="Arial" w:hAnsi="Arial"/>
      <w:b/>
      <w:bCs/>
      <w:color w:val="FFFFFF"/>
      <w:sz w:val="26"/>
      <w:szCs w:val="26"/>
    </w:rPr>
  </w:style>
  <w:style w:type="paragraph" w:styleId="Heading3">
    <w:name w:val="Heading 3"/>
    <w:basedOn w:val="Normal"/>
    <w:next w:val="Normal"/>
    <w:qFormat/>
    <w:pPr>
      <w:spacing w:after="60" w:before="140"/>
      <w:outlineLvl w:val="2"/>
    </w:pPr>
    <w:rPr>
      <w:rFonts w:ascii="Arial" w:cs="Arial" w:eastAsia="Arial" w:hAnsi="Arial"/>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2026-05-13T10:14:33.410Z</dcterms:created>
  <dcterms:modified xsi:type="dcterms:W3CDTF">2026-05-13T10:14:33.410Z</dcterms:modified>
</cp:coreProperties>
</file>

<file path=docProps/custom.xml><?xml version="1.0" encoding="utf-8"?>
<Properties xmlns="http://schemas.openxmlformats.org/officeDocument/2006/custom-properties" xmlns:vt="http://schemas.openxmlformats.org/officeDocument/2006/docPropsVTypes"/>
</file>